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6A" w:rsidRDefault="007B606A" w:rsidP="001C4237">
      <w:pPr>
        <w:spacing w:after="0" w:line="240" w:lineRule="auto"/>
        <w:rPr>
          <w:rFonts w:ascii="Arial" w:eastAsia="Times New Roman" w:hAnsi="Arial" w:cs="Arial"/>
          <w:sz w:val="20"/>
          <w:szCs w:val="20"/>
          <w:lang w:eastAsia="nl-NL"/>
        </w:rPr>
      </w:pPr>
    </w:p>
    <w:p w:rsidR="001C4237" w:rsidRDefault="001C4237" w:rsidP="001C4237">
      <w:pPr>
        <w:spacing w:after="0" w:line="240" w:lineRule="auto"/>
        <w:rPr>
          <w:rFonts w:ascii="Arial" w:eastAsia="Times New Roman" w:hAnsi="Arial" w:cs="Arial"/>
          <w:sz w:val="20"/>
          <w:szCs w:val="20"/>
          <w:lang w:eastAsia="nl-NL"/>
        </w:rPr>
      </w:pPr>
      <w:bookmarkStart w:id="0" w:name="_GoBack"/>
      <w:bookmarkEnd w:id="0"/>
      <w:r>
        <w:rPr>
          <w:rFonts w:ascii="Arial" w:eastAsia="Times New Roman" w:hAnsi="Arial" w:cs="Arial"/>
          <w:sz w:val="20"/>
          <w:szCs w:val="20"/>
          <w:lang w:eastAsia="nl-NL"/>
        </w:rPr>
        <w:t>MEMO WET AANVULLENDE MAATREGELEN ACCOUNTANTSORGANISATIES</w:t>
      </w:r>
      <w:r>
        <w:rPr>
          <w:rFonts w:ascii="Arial" w:eastAsia="Times New Roman" w:hAnsi="Arial" w:cs="Arial"/>
          <w:sz w:val="20"/>
          <w:szCs w:val="20"/>
          <w:lang w:eastAsia="nl-NL"/>
        </w:rPr>
        <w:br/>
        <w:t>NOTA NAV VERSLAG</w:t>
      </w:r>
    </w:p>
    <w:p w:rsidR="001C4237" w:rsidRDefault="001C4237" w:rsidP="001C4237">
      <w:pPr>
        <w:spacing w:after="0" w:line="240" w:lineRule="auto"/>
        <w:rPr>
          <w:rFonts w:ascii="Arial" w:eastAsia="Times New Roman" w:hAnsi="Arial" w:cs="Arial"/>
          <w:sz w:val="20"/>
          <w:szCs w:val="20"/>
          <w:lang w:eastAsia="nl-NL"/>
        </w:rPr>
      </w:pPr>
    </w:p>
    <w:p w:rsidR="00BA2DE5" w:rsidRPr="00BA2DE5" w:rsidRDefault="00BA2DE5" w:rsidP="001C4237">
      <w:pPr>
        <w:spacing w:after="0" w:line="240" w:lineRule="auto"/>
        <w:rPr>
          <w:rFonts w:ascii="Arial" w:eastAsia="Times New Roman" w:hAnsi="Arial" w:cs="Arial"/>
          <w:b/>
          <w:szCs w:val="20"/>
          <w:lang w:eastAsia="nl-NL"/>
        </w:rPr>
      </w:pPr>
      <w:r w:rsidRPr="00BA2DE5">
        <w:rPr>
          <w:rFonts w:ascii="Arial" w:eastAsia="Times New Roman" w:hAnsi="Arial" w:cs="Arial"/>
          <w:b/>
          <w:szCs w:val="20"/>
          <w:lang w:eastAsia="nl-NL"/>
        </w:rPr>
        <w:t>Brief rechtsbescherming</w:t>
      </w:r>
    </w:p>
    <w:p w:rsidR="00BA2DE5" w:rsidRDefault="00BA2DE5" w:rsidP="001C4237">
      <w:pPr>
        <w:spacing w:after="0" w:line="240" w:lineRule="auto"/>
        <w:rPr>
          <w:rFonts w:ascii="Arial" w:eastAsia="Times New Roman" w:hAnsi="Arial" w:cs="Arial"/>
          <w:b/>
          <w:sz w:val="20"/>
          <w:szCs w:val="20"/>
          <w:lang w:eastAsia="nl-NL"/>
        </w:rPr>
      </w:pPr>
    </w:p>
    <w:p w:rsidR="001C4237" w:rsidRDefault="001C4237" w:rsidP="001C4237">
      <w:pPr>
        <w:spacing w:after="0" w:line="240" w:lineRule="auto"/>
        <w:rPr>
          <w:rFonts w:ascii="Arial" w:eastAsia="Times New Roman" w:hAnsi="Arial" w:cs="Arial"/>
          <w:sz w:val="20"/>
          <w:szCs w:val="20"/>
          <w:lang w:eastAsia="nl-NL"/>
        </w:rPr>
      </w:pPr>
      <w:r w:rsidRPr="00300102">
        <w:rPr>
          <w:rFonts w:ascii="Arial" w:eastAsia="Times New Roman" w:hAnsi="Arial" w:cs="Arial"/>
          <w:b/>
          <w:sz w:val="20"/>
          <w:szCs w:val="20"/>
          <w:lang w:eastAsia="nl-NL"/>
        </w:rPr>
        <w:t>In het algemeen</w:t>
      </w:r>
      <w:r>
        <w:rPr>
          <w:rFonts w:ascii="Arial" w:eastAsia="Times New Roman" w:hAnsi="Arial" w:cs="Arial"/>
          <w:sz w:val="20"/>
          <w:szCs w:val="20"/>
          <w:lang w:eastAsia="nl-NL"/>
        </w:rPr>
        <w:br/>
      </w:r>
      <w:r w:rsidR="00C27972">
        <w:rPr>
          <w:rFonts w:ascii="Arial" w:eastAsia="Times New Roman" w:hAnsi="Arial" w:cs="Arial"/>
          <w:sz w:val="20"/>
          <w:szCs w:val="20"/>
          <w:lang w:eastAsia="nl-NL"/>
        </w:rPr>
        <w:br/>
      </w:r>
      <w:r>
        <w:rPr>
          <w:rFonts w:ascii="Arial" w:eastAsia="Times New Roman" w:hAnsi="Arial" w:cs="Arial"/>
          <w:sz w:val="20"/>
          <w:szCs w:val="20"/>
          <w:lang w:eastAsia="nl-NL"/>
        </w:rPr>
        <w:t xml:space="preserve">Eerder stuurde SRA leden van de Tweede Kamercommissie voor Financiën input voor de inbreng </w:t>
      </w:r>
      <w:proofErr w:type="spellStart"/>
      <w:r>
        <w:rPr>
          <w:rFonts w:ascii="Arial" w:eastAsia="Times New Roman" w:hAnsi="Arial" w:cs="Arial"/>
          <w:sz w:val="20"/>
          <w:szCs w:val="20"/>
          <w:lang w:eastAsia="nl-NL"/>
        </w:rPr>
        <w:t>nav</w:t>
      </w:r>
      <w:proofErr w:type="spellEnd"/>
      <w:r>
        <w:rPr>
          <w:rFonts w:ascii="Arial" w:eastAsia="Times New Roman" w:hAnsi="Arial" w:cs="Arial"/>
          <w:sz w:val="20"/>
          <w:szCs w:val="20"/>
          <w:lang w:eastAsia="nl-NL"/>
        </w:rPr>
        <w:t xml:space="preserve"> het wetvoorstel Wet aanvullende maatregelen accountantsorganisaties (34 677), meer specifiek de brief rechtsbescherming.</w:t>
      </w:r>
    </w:p>
    <w:p w:rsidR="001C4237" w:rsidRDefault="001C4237" w:rsidP="001C4237">
      <w:pPr>
        <w:spacing w:after="0" w:line="240" w:lineRule="auto"/>
        <w:rPr>
          <w:rFonts w:ascii="Arial" w:eastAsia="Times New Roman" w:hAnsi="Arial" w:cs="Arial"/>
          <w:sz w:val="20"/>
          <w:szCs w:val="20"/>
          <w:lang w:eastAsia="nl-NL"/>
        </w:rPr>
      </w:pPr>
    </w:p>
    <w:p w:rsidR="001C4237" w:rsidRDefault="001C4237" w:rsidP="001C4237">
      <w:pPr>
        <w:pStyle w:val="Normaalweb"/>
        <w:rPr>
          <w:rFonts w:ascii="Arial" w:hAnsi="Arial" w:cs="Arial"/>
          <w:color w:val="000000"/>
          <w:sz w:val="20"/>
          <w:szCs w:val="20"/>
        </w:rPr>
      </w:pPr>
      <w:r>
        <w:rPr>
          <w:rFonts w:ascii="Arial" w:hAnsi="Arial" w:cs="Arial"/>
          <w:color w:val="000000"/>
          <w:sz w:val="20"/>
          <w:szCs w:val="20"/>
        </w:rPr>
        <w:t xml:space="preserve">Verwijzend naar de inhoud van onze inbreng, is het voor accountants van belang dat de weg naar de Accountantskamer (c.q. </w:t>
      </w:r>
      <w:r>
        <w:rPr>
          <w:rFonts w:ascii="Arial" w:hAnsi="Arial" w:cs="Arial"/>
          <w:color w:val="000000"/>
          <w:sz w:val="20"/>
          <w:szCs w:val="20"/>
          <w:u w:val="single"/>
        </w:rPr>
        <w:t>inhoudelijke</w:t>
      </w:r>
      <w:r>
        <w:rPr>
          <w:rFonts w:ascii="Arial" w:hAnsi="Arial" w:cs="Arial"/>
          <w:color w:val="000000"/>
          <w:sz w:val="20"/>
          <w:szCs w:val="20"/>
        </w:rPr>
        <w:t xml:space="preserve"> toetsing) voor </w:t>
      </w:r>
      <w:r w:rsidR="007B606A">
        <w:rPr>
          <w:rFonts w:ascii="Arial" w:hAnsi="Arial" w:cs="Arial"/>
          <w:color w:val="000000"/>
          <w:sz w:val="20"/>
          <w:szCs w:val="20"/>
        </w:rPr>
        <w:t xml:space="preserve">verduidelijking van de </w:t>
      </w:r>
      <w:r>
        <w:rPr>
          <w:rFonts w:ascii="Arial" w:hAnsi="Arial" w:cs="Arial"/>
          <w:color w:val="000000"/>
          <w:sz w:val="20"/>
          <w:szCs w:val="20"/>
        </w:rPr>
        <w:t xml:space="preserve">normstelling openstaat. </w:t>
      </w:r>
      <w:r w:rsidRPr="00300102">
        <w:rPr>
          <w:rFonts w:ascii="Arial" w:hAnsi="Arial" w:cs="Arial"/>
          <w:color w:val="FF0000"/>
          <w:sz w:val="20"/>
          <w:szCs w:val="20"/>
        </w:rPr>
        <w:t>Dat is nu niet het geval</w:t>
      </w:r>
      <w:r>
        <w:rPr>
          <w:rFonts w:ascii="Arial" w:hAnsi="Arial" w:cs="Arial"/>
          <w:color w:val="000000"/>
          <w:sz w:val="20"/>
          <w:szCs w:val="20"/>
        </w:rPr>
        <w:t xml:space="preserve">. Voor het herstel van vertrouwen in onze beroepsgroep is eenduidigheid van </w:t>
      </w:r>
      <w:r w:rsidR="007B606A">
        <w:rPr>
          <w:rFonts w:ascii="Arial" w:hAnsi="Arial" w:cs="Arial"/>
          <w:color w:val="000000"/>
          <w:sz w:val="20"/>
          <w:szCs w:val="20"/>
        </w:rPr>
        <w:t xml:space="preserve">de uitleg van de </w:t>
      </w:r>
      <w:r>
        <w:rPr>
          <w:rFonts w:ascii="Arial" w:hAnsi="Arial" w:cs="Arial"/>
          <w:color w:val="000000"/>
          <w:sz w:val="20"/>
          <w:szCs w:val="20"/>
        </w:rPr>
        <w:t xml:space="preserve">normen noodzakelijk. </w:t>
      </w:r>
      <w:r w:rsidRPr="00300102">
        <w:rPr>
          <w:rFonts w:ascii="Arial" w:hAnsi="Arial" w:cs="Arial"/>
          <w:color w:val="FF0000"/>
          <w:sz w:val="20"/>
          <w:szCs w:val="20"/>
        </w:rPr>
        <w:t>Die eenduidigheid bestaat nu niet.</w:t>
      </w:r>
      <w:r>
        <w:rPr>
          <w:rFonts w:ascii="Arial" w:hAnsi="Arial" w:cs="Arial"/>
          <w:color w:val="000000"/>
          <w:sz w:val="20"/>
          <w:szCs w:val="20"/>
        </w:rPr>
        <w:t xml:space="preserve"> </w:t>
      </w:r>
      <w:r>
        <w:rPr>
          <w:rFonts w:ascii="Arial" w:hAnsi="Arial" w:cs="Arial"/>
          <w:color w:val="000000"/>
          <w:sz w:val="20"/>
          <w:szCs w:val="20"/>
        </w:rPr>
        <w:br/>
        <w:t xml:space="preserve">Zonder inhoudelijke toetsing door de Accountantskamer ontstaat niet de noodzakelijke eenduidigheid  binnen de normstelling, </w:t>
      </w:r>
      <w:r w:rsidRPr="00300102">
        <w:rPr>
          <w:rFonts w:ascii="Arial" w:hAnsi="Arial" w:cs="Arial"/>
          <w:color w:val="FF0000"/>
          <w:sz w:val="20"/>
          <w:szCs w:val="20"/>
        </w:rPr>
        <w:t>omdat de noodzakelijke jurisprudentie ontbreekt</w:t>
      </w:r>
      <w:r w:rsidR="007B606A">
        <w:rPr>
          <w:rFonts w:ascii="Arial" w:hAnsi="Arial" w:cs="Arial"/>
          <w:color w:val="FF0000"/>
          <w:sz w:val="20"/>
          <w:szCs w:val="20"/>
        </w:rPr>
        <w:t xml:space="preserve"> c.q. </w:t>
      </w:r>
      <w:r w:rsidRPr="00300102">
        <w:rPr>
          <w:rFonts w:ascii="Arial" w:hAnsi="Arial" w:cs="Arial"/>
          <w:color w:val="FF0000"/>
          <w:sz w:val="20"/>
          <w:szCs w:val="20"/>
        </w:rPr>
        <w:t>blijft ontbreken</w:t>
      </w:r>
      <w:r>
        <w:rPr>
          <w:rFonts w:ascii="Arial" w:hAnsi="Arial" w:cs="Arial"/>
          <w:color w:val="000000"/>
          <w:sz w:val="20"/>
          <w:szCs w:val="20"/>
        </w:rPr>
        <w:t>. En zonder nadere discussie hierover voorzien wij een afbreuk van het proces van vertrouwensherstel in onze beroepsgroep, met name in de kwaliteit van de accountantscontrole.</w:t>
      </w:r>
      <w:r>
        <w:rPr>
          <w:rFonts w:ascii="Arial" w:hAnsi="Arial" w:cs="Arial"/>
          <w:color w:val="000000"/>
          <w:sz w:val="20"/>
          <w:szCs w:val="20"/>
        </w:rPr>
        <w:br/>
      </w:r>
    </w:p>
    <w:p w:rsidR="001C4237" w:rsidRPr="00FE0B52" w:rsidRDefault="001C4237" w:rsidP="001C4237">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Deze punten van zorg zijn in de overleggen met het Ministerie van Financiën uitvoerig besproken</w:t>
      </w:r>
      <w:r w:rsidR="00345960">
        <w:rPr>
          <w:rFonts w:ascii="Arial" w:eastAsia="Times New Roman" w:hAnsi="Arial" w:cs="Arial"/>
          <w:sz w:val="20"/>
          <w:szCs w:val="20"/>
          <w:lang w:eastAsia="nl-NL"/>
        </w:rPr>
        <w:t>;</w:t>
      </w:r>
      <w:r>
        <w:rPr>
          <w:rFonts w:ascii="Arial" w:eastAsia="Times New Roman" w:hAnsi="Arial" w:cs="Arial"/>
          <w:sz w:val="20"/>
          <w:szCs w:val="20"/>
          <w:lang w:eastAsia="nl-NL"/>
        </w:rPr>
        <w:t xml:space="preserve"> praktisch, vanuit juridisch oogpunt </w:t>
      </w:r>
      <w:r w:rsidR="00C27972">
        <w:rPr>
          <w:rFonts w:ascii="Arial" w:eastAsia="Times New Roman" w:hAnsi="Arial" w:cs="Arial"/>
          <w:sz w:val="20"/>
          <w:szCs w:val="20"/>
          <w:lang w:eastAsia="nl-NL"/>
        </w:rPr>
        <w:t xml:space="preserve">met als basis de </w:t>
      </w:r>
      <w:proofErr w:type="spellStart"/>
      <w:r w:rsidR="00C27972">
        <w:rPr>
          <w:rFonts w:ascii="Arial" w:eastAsia="Times New Roman" w:hAnsi="Arial" w:cs="Arial"/>
          <w:sz w:val="20"/>
          <w:szCs w:val="20"/>
          <w:lang w:eastAsia="nl-NL"/>
        </w:rPr>
        <w:t>Wta</w:t>
      </w:r>
      <w:proofErr w:type="spellEnd"/>
      <w:r w:rsidR="00C27972">
        <w:rPr>
          <w:rFonts w:ascii="Arial" w:eastAsia="Times New Roman" w:hAnsi="Arial" w:cs="Arial"/>
          <w:sz w:val="20"/>
          <w:szCs w:val="20"/>
          <w:lang w:eastAsia="nl-NL"/>
        </w:rPr>
        <w:t xml:space="preserve">, </w:t>
      </w:r>
      <w:r>
        <w:rPr>
          <w:rFonts w:ascii="Arial" w:eastAsia="Times New Roman" w:hAnsi="Arial" w:cs="Arial"/>
          <w:sz w:val="20"/>
          <w:szCs w:val="20"/>
          <w:lang w:eastAsia="nl-NL"/>
        </w:rPr>
        <w:t xml:space="preserve">en wetenschappelijk onderbouwd. </w:t>
      </w:r>
      <w:r w:rsidR="00C27972">
        <w:rPr>
          <w:rFonts w:ascii="Arial" w:eastAsia="Times New Roman" w:hAnsi="Arial" w:cs="Arial"/>
          <w:sz w:val="20"/>
          <w:szCs w:val="20"/>
          <w:lang w:eastAsia="nl-NL"/>
        </w:rPr>
        <w:br/>
      </w:r>
      <w:r>
        <w:rPr>
          <w:rFonts w:ascii="Arial" w:eastAsia="Times New Roman" w:hAnsi="Arial" w:cs="Arial"/>
          <w:sz w:val="20"/>
          <w:szCs w:val="20"/>
          <w:lang w:eastAsia="nl-NL"/>
        </w:rPr>
        <w:t>SRA herkent zich dan ook niet in de conclusies van de brief en de beantwoording van de vragen door de Minister in de Nota naar aanleiding van het verslag.</w:t>
      </w:r>
      <w:r>
        <w:rPr>
          <w:rFonts w:ascii="Arial" w:eastAsia="Times New Roman" w:hAnsi="Arial" w:cs="Arial"/>
          <w:sz w:val="20"/>
          <w:szCs w:val="20"/>
          <w:lang w:eastAsia="nl-NL"/>
        </w:rPr>
        <w:br/>
      </w:r>
      <w:r>
        <w:rPr>
          <w:rFonts w:ascii="Arial" w:eastAsia="Times New Roman" w:hAnsi="Arial" w:cs="Arial"/>
          <w:sz w:val="20"/>
          <w:szCs w:val="20"/>
          <w:lang w:eastAsia="nl-NL"/>
        </w:rPr>
        <w:br/>
      </w:r>
      <w:r w:rsidRPr="006E4DAB">
        <w:rPr>
          <w:rFonts w:ascii="Arial" w:eastAsia="Times New Roman" w:hAnsi="Arial" w:cs="Arial"/>
          <w:b/>
          <w:sz w:val="20"/>
          <w:szCs w:val="20"/>
          <w:lang w:eastAsia="nl-NL"/>
        </w:rPr>
        <w:t>Meer specifiek</w:t>
      </w:r>
    </w:p>
    <w:p w:rsidR="001C4237" w:rsidRPr="00FE0B52" w:rsidRDefault="001C4237" w:rsidP="001C4237">
      <w:pPr>
        <w:spacing w:after="0" w:line="240" w:lineRule="auto"/>
        <w:rPr>
          <w:rFonts w:ascii="Arial" w:eastAsia="Times New Roman" w:hAnsi="Arial" w:cs="Arial"/>
          <w:sz w:val="20"/>
          <w:szCs w:val="20"/>
          <w:lang w:eastAsia="nl-NL"/>
        </w:rPr>
      </w:pPr>
    </w:p>
    <w:p w:rsidR="001C4237" w:rsidRPr="00FE0B52" w:rsidRDefault="001C4237" w:rsidP="001C4237">
      <w:pPr>
        <w:spacing w:after="0" w:line="240" w:lineRule="auto"/>
        <w:rPr>
          <w:rFonts w:ascii="Arial" w:eastAsia="Times New Roman" w:hAnsi="Arial" w:cs="Arial"/>
          <w:sz w:val="20"/>
          <w:szCs w:val="20"/>
          <w:lang w:eastAsia="nl-NL"/>
        </w:rPr>
      </w:pPr>
      <w:r w:rsidRPr="00824A8D">
        <w:rPr>
          <w:rFonts w:ascii="Arial" w:eastAsia="Times New Roman" w:hAnsi="Arial" w:cs="Arial"/>
          <w:color w:val="FF0000"/>
          <w:sz w:val="20"/>
          <w:szCs w:val="20"/>
          <w:u w:val="single"/>
          <w:lang w:eastAsia="nl-NL"/>
        </w:rPr>
        <w:t xml:space="preserve">De beantwoording van de gestelde vragen schiet </w:t>
      </w:r>
      <w:r w:rsidR="00C27972" w:rsidRPr="00824A8D">
        <w:rPr>
          <w:rFonts w:ascii="Arial" w:eastAsia="Times New Roman" w:hAnsi="Arial" w:cs="Arial"/>
          <w:color w:val="FF0000"/>
          <w:sz w:val="20"/>
          <w:szCs w:val="20"/>
          <w:u w:val="single"/>
          <w:lang w:eastAsia="nl-NL"/>
        </w:rPr>
        <w:t>op essentië</w:t>
      </w:r>
      <w:r w:rsidRPr="00824A8D">
        <w:rPr>
          <w:rFonts w:ascii="Arial" w:eastAsia="Times New Roman" w:hAnsi="Arial" w:cs="Arial"/>
          <w:color w:val="FF0000"/>
          <w:sz w:val="20"/>
          <w:szCs w:val="20"/>
          <w:u w:val="single"/>
          <w:lang w:eastAsia="nl-NL"/>
        </w:rPr>
        <w:t>le punten tekort</w:t>
      </w:r>
      <w:r w:rsidRPr="00FE0B52">
        <w:rPr>
          <w:rFonts w:ascii="Arial" w:eastAsia="Times New Roman" w:hAnsi="Arial" w:cs="Arial"/>
          <w:sz w:val="20"/>
          <w:szCs w:val="20"/>
          <w:lang w:eastAsia="nl-NL"/>
        </w:rPr>
        <w:t>. De rode draad hierbij is dat e</w:t>
      </w:r>
      <w:r w:rsidR="00C27972">
        <w:rPr>
          <w:rFonts w:ascii="Arial" w:eastAsia="Times New Roman" w:hAnsi="Arial" w:cs="Arial"/>
          <w:sz w:val="20"/>
          <w:szCs w:val="20"/>
          <w:lang w:eastAsia="nl-NL"/>
        </w:rPr>
        <w:t xml:space="preserve">en en ander </w:t>
      </w:r>
      <w:r w:rsidRPr="00FE0B52">
        <w:rPr>
          <w:rFonts w:ascii="Arial" w:eastAsia="Times New Roman" w:hAnsi="Arial" w:cs="Arial"/>
          <w:sz w:val="20"/>
          <w:szCs w:val="20"/>
          <w:lang w:eastAsia="nl-NL"/>
        </w:rPr>
        <w:t>met name wordt beantwoord vanuit het gezichtspunt van de normen voor accountantsorganisaties</w:t>
      </w:r>
      <w:r w:rsidR="007B606A">
        <w:rPr>
          <w:rFonts w:ascii="Arial" w:eastAsia="Times New Roman" w:hAnsi="Arial" w:cs="Arial"/>
          <w:sz w:val="20"/>
          <w:szCs w:val="20"/>
          <w:lang w:eastAsia="nl-NL"/>
        </w:rPr>
        <w:t xml:space="preserve">, die met name de </w:t>
      </w:r>
      <w:r w:rsidR="007B606A" w:rsidRPr="007B606A">
        <w:rPr>
          <w:rFonts w:ascii="Arial" w:eastAsia="Times New Roman" w:hAnsi="Arial" w:cs="Arial"/>
          <w:sz w:val="20"/>
          <w:szCs w:val="20"/>
          <w:u w:val="single"/>
          <w:lang w:eastAsia="nl-NL"/>
        </w:rPr>
        <w:t>kwaliteitsbeheersing</w:t>
      </w:r>
      <w:r w:rsidR="007B606A">
        <w:rPr>
          <w:rFonts w:ascii="Arial" w:eastAsia="Times New Roman" w:hAnsi="Arial" w:cs="Arial"/>
          <w:sz w:val="20"/>
          <w:szCs w:val="20"/>
          <w:lang w:eastAsia="nl-NL"/>
        </w:rPr>
        <w:t xml:space="preserve"> betreffen</w:t>
      </w:r>
      <w:r w:rsidR="00C27972">
        <w:rPr>
          <w:rFonts w:ascii="Arial" w:eastAsia="Times New Roman" w:hAnsi="Arial" w:cs="Arial"/>
          <w:sz w:val="20"/>
          <w:szCs w:val="20"/>
          <w:lang w:eastAsia="nl-NL"/>
        </w:rPr>
        <w:t>. N</w:t>
      </w:r>
      <w:r w:rsidRPr="00FE0B52">
        <w:rPr>
          <w:rFonts w:ascii="Arial" w:eastAsia="Times New Roman" w:hAnsi="Arial" w:cs="Arial"/>
          <w:sz w:val="20"/>
          <w:szCs w:val="20"/>
          <w:lang w:eastAsia="nl-NL"/>
        </w:rPr>
        <w:t>iet vanuit de normen voor individuele accountants</w:t>
      </w:r>
      <w:r w:rsidR="007B606A">
        <w:rPr>
          <w:rFonts w:ascii="Arial" w:eastAsia="Times New Roman" w:hAnsi="Arial" w:cs="Arial"/>
          <w:sz w:val="20"/>
          <w:szCs w:val="20"/>
          <w:lang w:eastAsia="nl-NL"/>
        </w:rPr>
        <w:t xml:space="preserve">, die de </w:t>
      </w:r>
      <w:r w:rsidR="007B606A" w:rsidRPr="007B606A">
        <w:rPr>
          <w:rFonts w:ascii="Arial" w:eastAsia="Times New Roman" w:hAnsi="Arial" w:cs="Arial"/>
          <w:sz w:val="20"/>
          <w:szCs w:val="20"/>
          <w:u w:val="single"/>
          <w:lang w:eastAsia="nl-NL"/>
        </w:rPr>
        <w:t>feitelijke beroepsuitoefening</w:t>
      </w:r>
      <w:r w:rsidR="007B606A">
        <w:rPr>
          <w:rFonts w:ascii="Arial" w:eastAsia="Times New Roman" w:hAnsi="Arial" w:cs="Arial"/>
          <w:sz w:val="20"/>
          <w:szCs w:val="20"/>
          <w:lang w:eastAsia="nl-NL"/>
        </w:rPr>
        <w:t xml:space="preserve"> betreffen</w:t>
      </w:r>
      <w:r w:rsidRPr="00FE0B52">
        <w:rPr>
          <w:rFonts w:ascii="Arial" w:eastAsia="Times New Roman" w:hAnsi="Arial" w:cs="Arial"/>
          <w:sz w:val="20"/>
          <w:szCs w:val="20"/>
          <w:lang w:eastAsia="nl-NL"/>
        </w:rPr>
        <w:t>. Hierdoor blijft het tuchtrecht grotendeels buiten beeld.</w:t>
      </w:r>
    </w:p>
    <w:p w:rsidR="001C4237" w:rsidRPr="00FE0B52" w:rsidRDefault="001C4237" w:rsidP="001C4237">
      <w:pPr>
        <w:spacing w:after="0" w:line="240" w:lineRule="auto"/>
        <w:rPr>
          <w:rFonts w:ascii="Arial" w:eastAsia="Times New Roman" w:hAnsi="Arial" w:cs="Arial"/>
          <w:sz w:val="20"/>
          <w:szCs w:val="20"/>
          <w:lang w:eastAsia="nl-NL"/>
        </w:rPr>
      </w:pPr>
    </w:p>
    <w:p w:rsidR="001C4237" w:rsidRPr="00FE0B52" w:rsidRDefault="001C4237" w:rsidP="001C4237">
      <w:pPr>
        <w:spacing w:after="0" w:line="240" w:lineRule="auto"/>
        <w:rPr>
          <w:rFonts w:ascii="Arial" w:eastAsia="Times New Roman" w:hAnsi="Arial" w:cs="Arial"/>
          <w:sz w:val="20"/>
          <w:szCs w:val="20"/>
          <w:lang w:eastAsia="nl-NL"/>
        </w:rPr>
      </w:pPr>
      <w:r w:rsidRPr="00FE0B52">
        <w:rPr>
          <w:rFonts w:ascii="Arial" w:eastAsia="Times New Roman" w:hAnsi="Arial" w:cs="Arial"/>
          <w:sz w:val="20"/>
          <w:szCs w:val="20"/>
          <w:lang w:eastAsia="nl-NL"/>
        </w:rPr>
        <w:t>Dit betreft de volgende vier aspecten:</w:t>
      </w:r>
    </w:p>
    <w:p w:rsidR="001C4237" w:rsidRPr="00FE0B52" w:rsidRDefault="007B606A" w:rsidP="001C4237">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br/>
      </w:r>
      <w:r w:rsidR="001C4237" w:rsidRPr="00FE0B52">
        <w:rPr>
          <w:rFonts w:ascii="Arial" w:eastAsia="Times New Roman" w:hAnsi="Arial" w:cs="Arial"/>
          <w:sz w:val="20"/>
          <w:szCs w:val="20"/>
          <w:lang w:eastAsia="nl-NL"/>
        </w:rPr>
        <w:t xml:space="preserve">1. De derde vraag (op </w:t>
      </w:r>
      <w:r w:rsidR="00C27972">
        <w:rPr>
          <w:rFonts w:ascii="Arial" w:eastAsia="Times New Roman" w:hAnsi="Arial" w:cs="Arial"/>
          <w:sz w:val="20"/>
          <w:szCs w:val="20"/>
          <w:lang w:eastAsia="nl-NL"/>
        </w:rPr>
        <w:t xml:space="preserve">pagina </w:t>
      </w:r>
      <w:r w:rsidR="001C4237" w:rsidRPr="00FE0B52">
        <w:rPr>
          <w:rFonts w:ascii="Arial" w:eastAsia="Times New Roman" w:hAnsi="Arial" w:cs="Arial"/>
          <w:sz w:val="20"/>
          <w:szCs w:val="20"/>
          <w:lang w:eastAsia="nl-NL"/>
        </w:rPr>
        <w:t xml:space="preserve">28 van de nota) betreft de toetsing van open normen. Opvallend is dat in de beantwoording uitsluitend gesproken wordt over de burgerlijke rechter en de bestuursrechter, die beiden marginaal toetsen, </w:t>
      </w:r>
      <w:r w:rsidR="00C27972">
        <w:rPr>
          <w:rFonts w:ascii="Arial" w:eastAsia="Times New Roman" w:hAnsi="Arial" w:cs="Arial"/>
          <w:sz w:val="20"/>
          <w:szCs w:val="20"/>
          <w:lang w:eastAsia="nl-NL"/>
        </w:rPr>
        <w:t>en</w:t>
      </w:r>
      <w:r w:rsidR="001C4237" w:rsidRPr="00FE0B52">
        <w:rPr>
          <w:rFonts w:ascii="Arial" w:eastAsia="Times New Roman" w:hAnsi="Arial" w:cs="Arial"/>
          <w:sz w:val="20"/>
          <w:szCs w:val="20"/>
          <w:lang w:eastAsia="nl-NL"/>
        </w:rPr>
        <w:t xml:space="preserve"> niet over de tuchtrechter, die vol toetst.</w:t>
      </w:r>
      <w:r w:rsidR="00C27972">
        <w:rPr>
          <w:rFonts w:ascii="Arial" w:eastAsia="Times New Roman" w:hAnsi="Arial" w:cs="Arial"/>
          <w:sz w:val="20"/>
          <w:szCs w:val="20"/>
          <w:lang w:eastAsia="nl-NL"/>
        </w:rPr>
        <w:t xml:space="preserve"> </w:t>
      </w:r>
      <w:r w:rsidR="001C4237" w:rsidRPr="00FE0B52">
        <w:rPr>
          <w:rFonts w:ascii="Arial" w:eastAsia="Times New Roman" w:hAnsi="Arial" w:cs="Arial"/>
          <w:sz w:val="20"/>
          <w:szCs w:val="20"/>
          <w:lang w:eastAsia="nl-NL"/>
        </w:rPr>
        <w:t xml:space="preserve">De relevantie van de burgerlijke rechter in dit verband ontgaat </w:t>
      </w:r>
      <w:r w:rsidR="00C27972">
        <w:rPr>
          <w:rFonts w:ascii="Arial" w:eastAsia="Times New Roman" w:hAnsi="Arial" w:cs="Arial"/>
          <w:sz w:val="20"/>
          <w:szCs w:val="20"/>
          <w:lang w:eastAsia="nl-NL"/>
        </w:rPr>
        <w:t>ons</w:t>
      </w:r>
      <w:r>
        <w:rPr>
          <w:rFonts w:ascii="Arial" w:eastAsia="Times New Roman" w:hAnsi="Arial" w:cs="Arial"/>
          <w:sz w:val="20"/>
          <w:szCs w:val="20"/>
          <w:lang w:eastAsia="nl-NL"/>
        </w:rPr>
        <w:t>; al zal waarschijnlijk geduid worden op een enkele keer dat in aansprakelijkheidszaken bijvoorbeeld de zorgplicht aan de orde komt</w:t>
      </w:r>
      <w:r w:rsidR="001C4237" w:rsidRPr="00FE0B52">
        <w:rPr>
          <w:rFonts w:ascii="Arial" w:eastAsia="Times New Roman" w:hAnsi="Arial" w:cs="Arial"/>
          <w:sz w:val="20"/>
          <w:szCs w:val="20"/>
          <w:lang w:eastAsia="nl-NL"/>
        </w:rPr>
        <w:t xml:space="preserve">. </w:t>
      </w:r>
      <w:r w:rsidR="00C27972" w:rsidRPr="00C27972">
        <w:rPr>
          <w:rFonts w:ascii="Arial" w:eastAsia="Times New Roman" w:hAnsi="Arial" w:cs="Arial"/>
          <w:sz w:val="20"/>
          <w:szCs w:val="20"/>
          <w:u w:val="single"/>
          <w:lang w:eastAsia="nl-NL"/>
        </w:rPr>
        <w:t>D</w:t>
      </w:r>
      <w:r w:rsidR="001C4237" w:rsidRPr="00FE0B52">
        <w:rPr>
          <w:rFonts w:ascii="Arial" w:eastAsia="Times New Roman" w:hAnsi="Arial" w:cs="Arial"/>
          <w:sz w:val="20"/>
          <w:szCs w:val="20"/>
          <w:u w:val="single"/>
          <w:lang w:eastAsia="nl-NL"/>
        </w:rPr>
        <w:t xml:space="preserve">e nadruk </w:t>
      </w:r>
      <w:r>
        <w:rPr>
          <w:rFonts w:ascii="Arial" w:eastAsia="Times New Roman" w:hAnsi="Arial" w:cs="Arial"/>
          <w:sz w:val="20"/>
          <w:szCs w:val="20"/>
          <w:u w:val="single"/>
          <w:lang w:eastAsia="nl-NL"/>
        </w:rPr>
        <w:t xml:space="preserve">in de beantwoording van de Minister </w:t>
      </w:r>
      <w:r w:rsidR="001C4237" w:rsidRPr="00FE0B52">
        <w:rPr>
          <w:rFonts w:ascii="Arial" w:eastAsia="Times New Roman" w:hAnsi="Arial" w:cs="Arial"/>
          <w:sz w:val="20"/>
          <w:szCs w:val="20"/>
          <w:u w:val="single"/>
          <w:lang w:eastAsia="nl-NL"/>
        </w:rPr>
        <w:t>ligt op de accountantsorganisatie terwijl de o</w:t>
      </w:r>
      <w:r w:rsidR="00C27972">
        <w:rPr>
          <w:rFonts w:ascii="Arial" w:eastAsia="Times New Roman" w:hAnsi="Arial" w:cs="Arial"/>
          <w:sz w:val="20"/>
          <w:szCs w:val="20"/>
          <w:u w:val="single"/>
          <w:lang w:eastAsia="nl-NL"/>
        </w:rPr>
        <w:t xml:space="preserve">pen normen met name </w:t>
      </w:r>
      <w:r w:rsidR="001C4237" w:rsidRPr="00FE0B52">
        <w:rPr>
          <w:rFonts w:ascii="Arial" w:eastAsia="Times New Roman" w:hAnsi="Arial" w:cs="Arial"/>
          <w:sz w:val="20"/>
          <w:szCs w:val="20"/>
          <w:u w:val="single"/>
          <w:lang w:eastAsia="nl-NL"/>
        </w:rPr>
        <w:t>de eisen voor de individuele accountant betreffen</w:t>
      </w:r>
      <w:r w:rsidR="001C4237" w:rsidRPr="00FE0B52">
        <w:rPr>
          <w:rFonts w:ascii="Arial" w:eastAsia="Times New Roman" w:hAnsi="Arial" w:cs="Arial"/>
          <w:sz w:val="20"/>
          <w:szCs w:val="20"/>
          <w:lang w:eastAsia="nl-NL"/>
        </w:rPr>
        <w:t xml:space="preserve">. Het antwoord gaat daardoor voorbij aan een essentieel deel van de vraagstelling. </w:t>
      </w:r>
      <w:r w:rsidR="00C27972">
        <w:rPr>
          <w:rFonts w:ascii="Arial" w:eastAsia="Times New Roman" w:hAnsi="Arial" w:cs="Arial"/>
          <w:sz w:val="20"/>
          <w:szCs w:val="20"/>
          <w:lang w:eastAsia="nl-NL"/>
        </w:rPr>
        <w:br/>
      </w:r>
      <w:r w:rsidR="001C4237" w:rsidRPr="00FE0B52">
        <w:rPr>
          <w:rFonts w:ascii="Arial" w:eastAsia="Times New Roman" w:hAnsi="Arial" w:cs="Arial"/>
          <w:sz w:val="20"/>
          <w:szCs w:val="20"/>
          <w:lang w:eastAsia="nl-NL"/>
        </w:rPr>
        <w:t>Voorts valt op dat gesproken wordt over een belangenafwegin</w:t>
      </w:r>
      <w:r w:rsidR="00C27972">
        <w:rPr>
          <w:rFonts w:ascii="Arial" w:eastAsia="Times New Roman" w:hAnsi="Arial" w:cs="Arial"/>
          <w:sz w:val="20"/>
          <w:szCs w:val="20"/>
          <w:lang w:eastAsia="nl-NL"/>
        </w:rPr>
        <w:t>g door de toezichthouder, waar -</w:t>
      </w:r>
      <w:r w:rsidR="001C4237" w:rsidRPr="00FE0B52">
        <w:rPr>
          <w:rFonts w:ascii="Arial" w:eastAsia="Times New Roman" w:hAnsi="Arial" w:cs="Arial"/>
          <w:sz w:val="20"/>
          <w:szCs w:val="20"/>
          <w:lang w:eastAsia="nl-NL"/>
        </w:rPr>
        <w:t>gezien de wettelijke structuur</w:t>
      </w:r>
      <w:r w:rsidR="00C27972">
        <w:rPr>
          <w:rFonts w:ascii="Arial" w:eastAsia="Times New Roman" w:hAnsi="Arial" w:cs="Arial"/>
          <w:sz w:val="20"/>
          <w:szCs w:val="20"/>
          <w:lang w:eastAsia="nl-NL"/>
        </w:rPr>
        <w:t>-</w:t>
      </w:r>
      <w:r w:rsidR="001C4237" w:rsidRPr="00FE0B52">
        <w:rPr>
          <w:rFonts w:ascii="Arial" w:eastAsia="Times New Roman" w:hAnsi="Arial" w:cs="Arial"/>
          <w:sz w:val="20"/>
          <w:szCs w:val="20"/>
          <w:lang w:eastAsia="nl-NL"/>
        </w:rPr>
        <w:t>, geen sprake is van een belangenafweging maar van een keuze voor een bepaalde rechtsgang, die afhankelijk is van de beantwoording van de vraag of normen voor de individuele accountant of voor de accountantsorganisatie zijn overschreden.</w:t>
      </w:r>
    </w:p>
    <w:p w:rsidR="001C4237" w:rsidRDefault="00C27972" w:rsidP="001C4237">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br/>
      </w:r>
      <w:r w:rsidR="001C4237" w:rsidRPr="00FE0B52">
        <w:rPr>
          <w:rFonts w:ascii="Arial" w:eastAsia="Times New Roman" w:hAnsi="Arial" w:cs="Arial"/>
          <w:sz w:val="20"/>
          <w:szCs w:val="20"/>
          <w:lang w:eastAsia="nl-NL"/>
        </w:rPr>
        <w:t xml:space="preserve">2. Op </w:t>
      </w:r>
      <w:r>
        <w:rPr>
          <w:rFonts w:ascii="Arial" w:eastAsia="Times New Roman" w:hAnsi="Arial" w:cs="Arial"/>
          <w:sz w:val="20"/>
          <w:szCs w:val="20"/>
          <w:lang w:eastAsia="nl-NL"/>
        </w:rPr>
        <w:t>pagina</w:t>
      </w:r>
      <w:r w:rsidR="001C4237" w:rsidRPr="00FE0B52">
        <w:rPr>
          <w:rFonts w:ascii="Arial" w:eastAsia="Times New Roman" w:hAnsi="Arial" w:cs="Arial"/>
          <w:sz w:val="20"/>
          <w:szCs w:val="20"/>
          <w:lang w:eastAsia="nl-NL"/>
        </w:rPr>
        <w:t xml:space="preserve"> 29 wordt gesproken over het inzicht geven door de AFM in de hiervoor bedoelde belangenafweging</w:t>
      </w:r>
      <w:r w:rsidR="007B606A">
        <w:rPr>
          <w:rFonts w:ascii="Arial" w:eastAsia="Times New Roman" w:hAnsi="Arial" w:cs="Arial"/>
          <w:sz w:val="20"/>
          <w:szCs w:val="20"/>
          <w:lang w:eastAsia="nl-NL"/>
        </w:rPr>
        <w:t xml:space="preserve"> (tuchtklacht of formele handhaving)</w:t>
      </w:r>
      <w:r w:rsidR="001C4237" w:rsidRPr="00FE0B52">
        <w:rPr>
          <w:rFonts w:ascii="Arial" w:eastAsia="Times New Roman" w:hAnsi="Arial" w:cs="Arial"/>
          <w:sz w:val="20"/>
          <w:szCs w:val="20"/>
          <w:lang w:eastAsia="nl-NL"/>
        </w:rPr>
        <w:t>. Dit zou dus de hiervoor bedoelde keuze</w:t>
      </w:r>
      <w:r w:rsidR="007B606A">
        <w:rPr>
          <w:rFonts w:ascii="Arial" w:eastAsia="Times New Roman" w:hAnsi="Arial" w:cs="Arial"/>
          <w:sz w:val="20"/>
          <w:szCs w:val="20"/>
          <w:lang w:eastAsia="nl-NL"/>
        </w:rPr>
        <w:t>, elke rechtsgang,</w:t>
      </w:r>
      <w:r w:rsidR="001C4237" w:rsidRPr="00FE0B52">
        <w:rPr>
          <w:rFonts w:ascii="Arial" w:eastAsia="Times New Roman" w:hAnsi="Arial" w:cs="Arial"/>
          <w:sz w:val="20"/>
          <w:szCs w:val="20"/>
          <w:lang w:eastAsia="nl-NL"/>
        </w:rPr>
        <w:t xml:space="preserve"> moeten betreffen</w:t>
      </w:r>
      <w:r w:rsidR="007B606A">
        <w:rPr>
          <w:rFonts w:ascii="Arial" w:eastAsia="Times New Roman" w:hAnsi="Arial" w:cs="Arial"/>
          <w:sz w:val="20"/>
          <w:szCs w:val="20"/>
          <w:lang w:eastAsia="nl-NL"/>
        </w:rPr>
        <w:t>: welke rechterlijke instantie moet toetsen</w:t>
      </w:r>
      <w:r w:rsidR="001C4237" w:rsidRPr="00FE0B52">
        <w:rPr>
          <w:rFonts w:ascii="Arial" w:eastAsia="Times New Roman" w:hAnsi="Arial" w:cs="Arial"/>
          <w:sz w:val="20"/>
          <w:szCs w:val="20"/>
          <w:lang w:eastAsia="nl-NL"/>
        </w:rPr>
        <w:t xml:space="preserve">. </w:t>
      </w:r>
      <w:r w:rsidR="007B606A">
        <w:rPr>
          <w:rFonts w:ascii="Arial" w:eastAsia="Times New Roman" w:hAnsi="Arial" w:cs="Arial"/>
          <w:sz w:val="20"/>
          <w:szCs w:val="20"/>
          <w:lang w:eastAsia="nl-NL"/>
        </w:rPr>
        <w:br/>
      </w:r>
      <w:r w:rsidR="001C4237" w:rsidRPr="00FE0B52">
        <w:rPr>
          <w:rFonts w:ascii="Arial" w:eastAsia="Times New Roman" w:hAnsi="Arial" w:cs="Arial"/>
          <w:sz w:val="20"/>
          <w:szCs w:val="20"/>
          <w:lang w:eastAsia="nl-NL"/>
        </w:rPr>
        <w:t>Het inzicht geven wordt uitgesteld tot "in de loop van 2018" met als argument dat de AFM meer ervaring moet krijgen met deze belangenafweging. Dit argument is erg vreemd gezien de langjarige ervaring van de AFM met het toezicht. Er is hier immers niets nieuws onder de zon: de AFM heeft meermalen de keuze moeten maken tussen beide rechtsgangen.</w:t>
      </w:r>
    </w:p>
    <w:p w:rsidR="00C27972" w:rsidRPr="00FE0B52" w:rsidRDefault="00C27972" w:rsidP="001C4237">
      <w:pPr>
        <w:spacing w:after="0" w:line="240" w:lineRule="auto"/>
        <w:rPr>
          <w:rFonts w:ascii="Arial" w:eastAsia="Times New Roman" w:hAnsi="Arial" w:cs="Arial"/>
          <w:sz w:val="20"/>
          <w:szCs w:val="20"/>
          <w:lang w:eastAsia="nl-NL"/>
        </w:rPr>
      </w:pPr>
    </w:p>
    <w:p w:rsidR="007B606A" w:rsidRDefault="007B606A" w:rsidP="001C4237">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lastRenderedPageBreak/>
        <w:t xml:space="preserve">Het belang van de sector en van het publiek belang, is dat de interpretatie van de normen eenduidig wordt. Dit kan alleen door meer dan nu het geval is, de tuchtrechter in te schakelen omdat zo’n rechtsgang jurisprudentie oplevert voor de juiste toepassing door de individuele accountant. </w:t>
      </w:r>
    </w:p>
    <w:p w:rsidR="007B606A" w:rsidRDefault="007B606A" w:rsidP="001C4237">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Indien deze weg niet wordt gekozen, zal de kwaliteit binnen de sector zeker niet toenemen</w:t>
      </w:r>
      <w:r w:rsidR="00345960">
        <w:rPr>
          <w:rFonts w:ascii="Arial" w:eastAsia="Times New Roman" w:hAnsi="Arial" w:cs="Arial"/>
          <w:sz w:val="20"/>
          <w:szCs w:val="20"/>
          <w:lang w:eastAsia="nl-NL"/>
        </w:rPr>
        <w:t>. I</w:t>
      </w:r>
      <w:r>
        <w:rPr>
          <w:rFonts w:ascii="Arial" w:eastAsia="Times New Roman" w:hAnsi="Arial" w:cs="Arial"/>
          <w:sz w:val="20"/>
          <w:szCs w:val="20"/>
          <w:lang w:eastAsia="nl-NL"/>
        </w:rPr>
        <w:t>mmers onduidelijkheid en interpretatieverschillen blijven bestaan. Als de AFM niet in staat is om deze belangenafweging te maken, dan zal de wetgeve</w:t>
      </w:r>
      <w:r w:rsidR="00672AAB">
        <w:rPr>
          <w:rFonts w:ascii="Arial" w:eastAsia="Times New Roman" w:hAnsi="Arial" w:cs="Arial"/>
          <w:sz w:val="20"/>
          <w:szCs w:val="20"/>
          <w:lang w:eastAsia="nl-NL"/>
        </w:rPr>
        <w:t>r een handje moeten helpen.</w:t>
      </w:r>
    </w:p>
    <w:p w:rsidR="007B606A" w:rsidRDefault="007B606A" w:rsidP="001C4237">
      <w:pPr>
        <w:spacing w:after="0" w:line="240" w:lineRule="auto"/>
        <w:rPr>
          <w:rFonts w:ascii="Arial" w:eastAsia="Times New Roman" w:hAnsi="Arial" w:cs="Arial"/>
          <w:sz w:val="20"/>
          <w:szCs w:val="20"/>
          <w:lang w:eastAsia="nl-NL"/>
        </w:rPr>
      </w:pPr>
    </w:p>
    <w:p w:rsidR="001C4237" w:rsidRPr="00FE0B52" w:rsidRDefault="001C4237" w:rsidP="001C4237">
      <w:pPr>
        <w:spacing w:after="0" w:line="240" w:lineRule="auto"/>
        <w:rPr>
          <w:rFonts w:ascii="Arial" w:eastAsia="Times New Roman" w:hAnsi="Arial" w:cs="Arial"/>
          <w:sz w:val="20"/>
          <w:szCs w:val="20"/>
          <w:lang w:eastAsia="nl-NL"/>
        </w:rPr>
      </w:pPr>
      <w:r w:rsidRPr="00FE0B52">
        <w:rPr>
          <w:rFonts w:ascii="Arial" w:eastAsia="Times New Roman" w:hAnsi="Arial" w:cs="Arial"/>
          <w:sz w:val="20"/>
          <w:szCs w:val="20"/>
          <w:lang w:eastAsia="nl-NL"/>
        </w:rPr>
        <w:t xml:space="preserve">3. Inzake de invulling van open normen wordt op </w:t>
      </w:r>
      <w:r w:rsidR="00C27972">
        <w:rPr>
          <w:rFonts w:ascii="Arial" w:eastAsia="Times New Roman" w:hAnsi="Arial" w:cs="Arial"/>
          <w:sz w:val="20"/>
          <w:szCs w:val="20"/>
          <w:lang w:eastAsia="nl-NL"/>
        </w:rPr>
        <w:t>pagina</w:t>
      </w:r>
      <w:r w:rsidRPr="00FE0B52">
        <w:rPr>
          <w:rFonts w:ascii="Arial" w:eastAsia="Times New Roman" w:hAnsi="Arial" w:cs="Arial"/>
          <w:sz w:val="20"/>
          <w:szCs w:val="20"/>
          <w:lang w:eastAsia="nl-NL"/>
        </w:rPr>
        <w:t xml:space="preserve"> 29 verwezen naar het NBA-platform "Leren van toezicht". Het gaat er ec</w:t>
      </w:r>
      <w:r w:rsidR="00C27972">
        <w:rPr>
          <w:rFonts w:ascii="Arial" w:eastAsia="Times New Roman" w:hAnsi="Arial" w:cs="Arial"/>
          <w:sz w:val="20"/>
          <w:szCs w:val="20"/>
          <w:lang w:eastAsia="nl-NL"/>
        </w:rPr>
        <w:t xml:space="preserve">hter voor de sector met name </w:t>
      </w:r>
      <w:r w:rsidRPr="00FE0B52">
        <w:rPr>
          <w:rFonts w:ascii="Arial" w:eastAsia="Times New Roman" w:hAnsi="Arial" w:cs="Arial"/>
          <w:sz w:val="20"/>
          <w:szCs w:val="20"/>
          <w:lang w:eastAsia="nl-NL"/>
        </w:rPr>
        <w:t xml:space="preserve">om inzicht te krijgen in de interpretatie die de AFM </w:t>
      </w:r>
      <w:r w:rsidR="00672AAB">
        <w:rPr>
          <w:rFonts w:ascii="Arial" w:eastAsia="Times New Roman" w:hAnsi="Arial" w:cs="Arial"/>
          <w:sz w:val="20"/>
          <w:szCs w:val="20"/>
          <w:lang w:eastAsia="nl-NL"/>
        </w:rPr>
        <w:t xml:space="preserve">bij haar toetsing aanhoudt </w:t>
      </w:r>
      <w:r w:rsidRPr="00FE0B52">
        <w:rPr>
          <w:rFonts w:ascii="Arial" w:eastAsia="Times New Roman" w:hAnsi="Arial" w:cs="Arial"/>
          <w:sz w:val="20"/>
          <w:szCs w:val="20"/>
          <w:lang w:eastAsia="nl-NL"/>
        </w:rPr>
        <w:t>ten aanzien van de normen</w:t>
      </w:r>
      <w:r w:rsidR="00C27972">
        <w:rPr>
          <w:rFonts w:ascii="Arial" w:eastAsia="Times New Roman" w:hAnsi="Arial" w:cs="Arial"/>
          <w:sz w:val="20"/>
          <w:szCs w:val="20"/>
          <w:lang w:eastAsia="nl-NL"/>
        </w:rPr>
        <w:t>,</w:t>
      </w:r>
      <w:r w:rsidRPr="00FE0B52">
        <w:rPr>
          <w:rFonts w:ascii="Arial" w:eastAsia="Times New Roman" w:hAnsi="Arial" w:cs="Arial"/>
          <w:sz w:val="20"/>
          <w:szCs w:val="20"/>
          <w:lang w:eastAsia="nl-NL"/>
        </w:rPr>
        <w:t xml:space="preserve"> en de toetsing daarvan door rechterlijke instanties (tuchtrechter en bestuursrechter). In de beantwoording van de vraag wordt op de rol van zowel de AFM als de rechterlijke instanties niet of nauwelijks ingegaan. De rol van de AFM in het scheppen van duidelijkheid op dit punt lijkt gezien het antwoord van de Minister passief.</w:t>
      </w:r>
    </w:p>
    <w:p w:rsidR="001C4237" w:rsidRPr="00FE0B52" w:rsidRDefault="001C4237" w:rsidP="001C4237">
      <w:pPr>
        <w:spacing w:after="0" w:line="240" w:lineRule="auto"/>
        <w:rPr>
          <w:rFonts w:ascii="Arial" w:eastAsia="Times New Roman" w:hAnsi="Arial" w:cs="Arial"/>
          <w:sz w:val="20"/>
          <w:szCs w:val="20"/>
          <w:lang w:eastAsia="nl-NL"/>
        </w:rPr>
      </w:pPr>
      <w:r w:rsidRPr="00FE0B52">
        <w:rPr>
          <w:rFonts w:ascii="Arial" w:eastAsia="Times New Roman" w:hAnsi="Arial" w:cs="Arial"/>
          <w:sz w:val="20"/>
          <w:szCs w:val="20"/>
          <w:lang w:eastAsia="nl-NL"/>
        </w:rPr>
        <w:t>4. In de vergelijking met andere landen wordt geconcludeerd dat e</w:t>
      </w:r>
      <w:r w:rsidR="00C27972">
        <w:rPr>
          <w:rFonts w:ascii="Arial" w:eastAsia="Times New Roman" w:hAnsi="Arial" w:cs="Arial"/>
          <w:sz w:val="20"/>
          <w:szCs w:val="20"/>
          <w:lang w:eastAsia="nl-NL"/>
        </w:rPr>
        <w:t xml:space="preserve">en en ander </w:t>
      </w:r>
      <w:r w:rsidRPr="00FE0B52">
        <w:rPr>
          <w:rFonts w:ascii="Arial" w:eastAsia="Times New Roman" w:hAnsi="Arial" w:cs="Arial"/>
          <w:sz w:val="20"/>
          <w:szCs w:val="20"/>
          <w:lang w:eastAsia="nl-NL"/>
        </w:rPr>
        <w:t>vergelijkbaar is. Hiermee wordt miskend dat in Nederland</w:t>
      </w:r>
      <w:r w:rsidR="00BA2DE5">
        <w:rPr>
          <w:rFonts w:ascii="Arial" w:eastAsia="Times New Roman" w:hAnsi="Arial" w:cs="Arial"/>
          <w:sz w:val="20"/>
          <w:szCs w:val="20"/>
          <w:lang w:eastAsia="nl-NL"/>
        </w:rPr>
        <w:t xml:space="preserve">, binnen de </w:t>
      </w:r>
      <w:proofErr w:type="spellStart"/>
      <w:r w:rsidR="00BA2DE5">
        <w:rPr>
          <w:rFonts w:ascii="Arial" w:eastAsia="Times New Roman" w:hAnsi="Arial" w:cs="Arial"/>
          <w:sz w:val="20"/>
          <w:szCs w:val="20"/>
          <w:lang w:eastAsia="nl-NL"/>
        </w:rPr>
        <w:t>Wta</w:t>
      </w:r>
      <w:proofErr w:type="spellEnd"/>
      <w:r w:rsidR="00BA2DE5">
        <w:rPr>
          <w:rFonts w:ascii="Arial" w:eastAsia="Times New Roman" w:hAnsi="Arial" w:cs="Arial"/>
          <w:sz w:val="20"/>
          <w:szCs w:val="20"/>
          <w:lang w:eastAsia="nl-NL"/>
        </w:rPr>
        <w:t xml:space="preserve">, </w:t>
      </w:r>
      <w:r w:rsidRPr="00FE0B52">
        <w:rPr>
          <w:rFonts w:ascii="Arial" w:eastAsia="Times New Roman" w:hAnsi="Arial" w:cs="Arial"/>
          <w:sz w:val="20"/>
          <w:szCs w:val="20"/>
          <w:lang w:eastAsia="nl-NL"/>
        </w:rPr>
        <w:t>sprake is van normen voor accountantsorganisaties en voor individuele accountants met een verschillende rechtsgang.</w:t>
      </w:r>
    </w:p>
    <w:p w:rsidR="001C4237" w:rsidRPr="00BA2DE5" w:rsidRDefault="001C4237" w:rsidP="001C4237">
      <w:pPr>
        <w:rPr>
          <w:rFonts w:ascii="Arial" w:hAnsi="Arial" w:cs="Arial"/>
          <w:b/>
          <w:sz w:val="20"/>
          <w:szCs w:val="20"/>
        </w:rPr>
      </w:pPr>
    </w:p>
    <w:p w:rsidR="00DF75AA" w:rsidRDefault="00BA2DE5" w:rsidP="00DF75AA">
      <w:pPr>
        <w:pStyle w:val="Kop2"/>
        <w:rPr>
          <w:rFonts w:ascii="Arial" w:eastAsiaTheme="minorHAnsi" w:hAnsi="Arial" w:cs="Arial"/>
          <w:color w:val="auto"/>
          <w:sz w:val="20"/>
          <w:szCs w:val="20"/>
        </w:rPr>
      </w:pPr>
      <w:r w:rsidRPr="00BA2DE5">
        <w:rPr>
          <w:rFonts w:ascii="Arial" w:eastAsiaTheme="minorHAnsi" w:hAnsi="Arial" w:cs="Arial"/>
          <w:b/>
          <w:color w:val="auto"/>
          <w:sz w:val="22"/>
          <w:szCs w:val="22"/>
        </w:rPr>
        <w:t>Wet</w:t>
      </w:r>
      <w:r>
        <w:rPr>
          <w:rFonts w:ascii="Arial" w:eastAsiaTheme="minorHAnsi" w:hAnsi="Arial" w:cs="Arial"/>
          <w:b/>
          <w:color w:val="auto"/>
          <w:sz w:val="22"/>
          <w:szCs w:val="22"/>
        </w:rPr>
        <w:t xml:space="preserve">svoorstel </w:t>
      </w:r>
      <w:r w:rsidRPr="00BA2DE5">
        <w:rPr>
          <w:rFonts w:ascii="Arial" w:eastAsiaTheme="minorHAnsi" w:hAnsi="Arial" w:cs="Arial"/>
          <w:b/>
          <w:color w:val="auto"/>
          <w:sz w:val="22"/>
          <w:szCs w:val="22"/>
        </w:rPr>
        <w:t>aanvullende maatregelen</w:t>
      </w:r>
      <w:r>
        <w:rPr>
          <w:rFonts w:ascii="Arial" w:eastAsiaTheme="minorHAnsi" w:hAnsi="Arial" w:cs="Arial"/>
          <w:b/>
          <w:color w:val="auto"/>
          <w:sz w:val="22"/>
          <w:szCs w:val="22"/>
        </w:rPr>
        <w:t xml:space="preserve"> accountantsorganisaties</w:t>
      </w:r>
      <w:r>
        <w:rPr>
          <w:rFonts w:ascii="Arial" w:eastAsiaTheme="minorHAnsi" w:hAnsi="Arial" w:cs="Arial"/>
          <w:color w:val="auto"/>
          <w:sz w:val="22"/>
          <w:szCs w:val="22"/>
        </w:rPr>
        <w:br/>
      </w:r>
    </w:p>
    <w:p w:rsidR="00FB3418" w:rsidRDefault="00BA2DE5" w:rsidP="00FB3418">
      <w:pPr>
        <w:rPr>
          <w:rFonts w:ascii="Arial" w:hAnsi="Arial" w:cs="Arial"/>
          <w:sz w:val="20"/>
          <w:szCs w:val="20"/>
        </w:rPr>
      </w:pPr>
      <w:r>
        <w:rPr>
          <w:rFonts w:ascii="Arial" w:hAnsi="Arial" w:cs="Arial"/>
          <w:sz w:val="20"/>
          <w:szCs w:val="20"/>
        </w:rPr>
        <w:t xml:space="preserve">Aanvullend hebben we nog de volgende kanttekeningen bij de beantwoording van de vragen door de Minister ten aanzien van </w:t>
      </w:r>
      <w:r w:rsidR="000204AF">
        <w:rPr>
          <w:rFonts w:ascii="Arial" w:hAnsi="Arial" w:cs="Arial"/>
          <w:sz w:val="20"/>
          <w:szCs w:val="20"/>
        </w:rPr>
        <w:t>W</w:t>
      </w:r>
      <w:r>
        <w:rPr>
          <w:rFonts w:ascii="Arial" w:hAnsi="Arial" w:cs="Arial"/>
          <w:sz w:val="20"/>
          <w:szCs w:val="20"/>
        </w:rPr>
        <w:t xml:space="preserve">etsvoorstel </w:t>
      </w:r>
      <w:r w:rsidR="000204AF">
        <w:rPr>
          <w:rFonts w:ascii="Arial" w:hAnsi="Arial" w:cs="Arial"/>
          <w:sz w:val="20"/>
          <w:szCs w:val="20"/>
        </w:rPr>
        <w:t>aanvullende maatregelen accountantsorganisaties</w:t>
      </w:r>
      <w:r w:rsidR="00FB3418">
        <w:rPr>
          <w:rFonts w:ascii="Arial" w:hAnsi="Arial" w:cs="Arial"/>
          <w:sz w:val="20"/>
          <w:szCs w:val="20"/>
        </w:rPr>
        <w:t>:</w:t>
      </w:r>
    </w:p>
    <w:p w:rsidR="00FB3418" w:rsidRDefault="00FB3418" w:rsidP="00FB3418">
      <w:pPr>
        <w:pStyle w:val="Lijstalinea"/>
        <w:numPr>
          <w:ilvl w:val="0"/>
          <w:numId w:val="2"/>
        </w:numPr>
        <w:rPr>
          <w:rFonts w:ascii="Arial" w:hAnsi="Arial" w:cs="Arial"/>
          <w:sz w:val="20"/>
          <w:szCs w:val="20"/>
        </w:rPr>
      </w:pPr>
      <w:r>
        <w:rPr>
          <w:rFonts w:ascii="Arial" w:hAnsi="Arial" w:cs="Arial"/>
          <w:sz w:val="20"/>
          <w:szCs w:val="20"/>
        </w:rPr>
        <w:t xml:space="preserve">Pagina 6, aanleiding wetsvoorstel: Ondanks dat SRA de zienswijze van de Minister om de oplossing niet te zoeken in meer wet- en regelgeving ondersteunt, vragen wij ons af waarom </w:t>
      </w:r>
      <w:r w:rsidR="00672AAB">
        <w:rPr>
          <w:rFonts w:ascii="Arial" w:hAnsi="Arial" w:cs="Arial"/>
          <w:sz w:val="20"/>
          <w:szCs w:val="20"/>
        </w:rPr>
        <w:t xml:space="preserve">bijvoorbeeld </w:t>
      </w:r>
      <w:r>
        <w:rPr>
          <w:rFonts w:ascii="Arial" w:hAnsi="Arial" w:cs="Arial"/>
          <w:sz w:val="20"/>
          <w:szCs w:val="20"/>
        </w:rPr>
        <w:t>de beleidsregel ten aanzien van de geschiktheidstoets zo minimalistisch is ingevuld. Ware het niet beter om waarborgen voor een eerlijke behandeling (normering, kwaliteitseisen geschiktheids</w:t>
      </w:r>
      <w:r w:rsidR="00672AAB">
        <w:rPr>
          <w:rFonts w:ascii="Arial" w:hAnsi="Arial" w:cs="Arial"/>
          <w:sz w:val="20"/>
          <w:szCs w:val="20"/>
        </w:rPr>
        <w:t xml:space="preserve">eis </w:t>
      </w:r>
      <w:r>
        <w:rPr>
          <w:rFonts w:ascii="Arial" w:hAnsi="Arial" w:cs="Arial"/>
          <w:sz w:val="20"/>
          <w:szCs w:val="20"/>
        </w:rPr>
        <w:t>toetsers, motiveringsplicht) in de beleidsregel op te nemen?</w:t>
      </w:r>
    </w:p>
    <w:p w:rsidR="000204AF" w:rsidRDefault="000204AF" w:rsidP="00FB3418">
      <w:pPr>
        <w:pStyle w:val="Lijstalinea"/>
        <w:numPr>
          <w:ilvl w:val="0"/>
          <w:numId w:val="2"/>
        </w:numPr>
        <w:rPr>
          <w:rFonts w:ascii="Arial" w:hAnsi="Arial" w:cs="Arial"/>
          <w:sz w:val="20"/>
          <w:szCs w:val="20"/>
        </w:rPr>
      </w:pPr>
      <w:r>
        <w:rPr>
          <w:rFonts w:ascii="Arial" w:hAnsi="Arial" w:cs="Arial"/>
          <w:sz w:val="20"/>
          <w:szCs w:val="20"/>
        </w:rPr>
        <w:t xml:space="preserve">Pagina 6, de beleidsregel van de AFM: Wij merken op dat de AFM in de voorgestelde beleidsregel </w:t>
      </w:r>
      <w:r w:rsidR="00672AAB">
        <w:rPr>
          <w:rFonts w:ascii="Arial" w:hAnsi="Arial" w:cs="Arial"/>
          <w:sz w:val="20"/>
          <w:szCs w:val="20"/>
        </w:rPr>
        <w:t xml:space="preserve">–voor zover wij kunnen overzien- </w:t>
      </w:r>
      <w:r>
        <w:rPr>
          <w:rFonts w:ascii="Arial" w:hAnsi="Arial" w:cs="Arial"/>
          <w:sz w:val="20"/>
          <w:szCs w:val="20"/>
        </w:rPr>
        <w:t xml:space="preserve">niet </w:t>
      </w:r>
      <w:r w:rsidR="00672AAB">
        <w:rPr>
          <w:rFonts w:ascii="Arial" w:hAnsi="Arial" w:cs="Arial"/>
          <w:sz w:val="20"/>
          <w:szCs w:val="20"/>
        </w:rPr>
        <w:t>alle</w:t>
      </w:r>
      <w:r>
        <w:rPr>
          <w:rFonts w:ascii="Arial" w:hAnsi="Arial" w:cs="Arial"/>
          <w:sz w:val="20"/>
          <w:szCs w:val="20"/>
        </w:rPr>
        <w:t xml:space="preserve"> aanbevelingen van de Commissie </w:t>
      </w:r>
      <w:proofErr w:type="spellStart"/>
      <w:r>
        <w:rPr>
          <w:rFonts w:ascii="Arial" w:hAnsi="Arial" w:cs="Arial"/>
          <w:sz w:val="20"/>
          <w:szCs w:val="20"/>
        </w:rPr>
        <w:t>Ottow</w:t>
      </w:r>
      <w:proofErr w:type="spellEnd"/>
      <w:r>
        <w:rPr>
          <w:rFonts w:ascii="Arial" w:hAnsi="Arial" w:cs="Arial"/>
          <w:sz w:val="20"/>
          <w:szCs w:val="20"/>
        </w:rPr>
        <w:t xml:space="preserve"> meeneemt, dan wel van plan is om mee te nemen.</w:t>
      </w:r>
    </w:p>
    <w:p w:rsidR="000204AF" w:rsidRDefault="000204AF" w:rsidP="00FB3418">
      <w:pPr>
        <w:pStyle w:val="Lijstalinea"/>
        <w:numPr>
          <w:ilvl w:val="0"/>
          <w:numId w:val="2"/>
        </w:numPr>
        <w:rPr>
          <w:rFonts w:ascii="Arial" w:hAnsi="Arial" w:cs="Arial"/>
          <w:sz w:val="20"/>
          <w:szCs w:val="20"/>
        </w:rPr>
      </w:pPr>
      <w:r>
        <w:rPr>
          <w:rFonts w:ascii="Arial" w:hAnsi="Arial" w:cs="Arial"/>
          <w:sz w:val="20"/>
          <w:szCs w:val="20"/>
        </w:rPr>
        <w:t>Pagina 10, invulling begrip beleidsbepaler door AFM: Het is ons niet duidelijk waarom de AFM bij de invulling van het begrip beleidsbepaler afwijkt van het vennootschapsrecht. Eenheid van recht is een belangrijk rechtstatelijk goed.</w:t>
      </w:r>
    </w:p>
    <w:p w:rsidR="001A3918" w:rsidRDefault="000204AF" w:rsidP="00FB3418">
      <w:pPr>
        <w:pStyle w:val="Lijstalinea"/>
        <w:numPr>
          <w:ilvl w:val="0"/>
          <w:numId w:val="2"/>
        </w:numPr>
        <w:rPr>
          <w:rFonts w:ascii="Arial" w:hAnsi="Arial" w:cs="Arial"/>
          <w:sz w:val="20"/>
          <w:szCs w:val="20"/>
        </w:rPr>
      </w:pPr>
      <w:r>
        <w:rPr>
          <w:rFonts w:ascii="Arial" w:hAnsi="Arial" w:cs="Arial"/>
          <w:sz w:val="20"/>
          <w:szCs w:val="20"/>
        </w:rPr>
        <w:t xml:space="preserve">Pagina 12, bevoegdheden interne toezichthouder: Wij </w:t>
      </w:r>
      <w:r w:rsidR="001A3918">
        <w:rPr>
          <w:rFonts w:ascii="Arial" w:hAnsi="Arial" w:cs="Arial"/>
          <w:sz w:val="20"/>
          <w:szCs w:val="20"/>
        </w:rPr>
        <w:t xml:space="preserve">benadrukken het belang om de samenhang met het vennootschapsrecht te bewaren. Voorkomen moet worden om incident gestuurde en ondoordachte bevoegdheden </w:t>
      </w:r>
      <w:r w:rsidR="00672AAB">
        <w:rPr>
          <w:rFonts w:ascii="Arial" w:hAnsi="Arial" w:cs="Arial"/>
          <w:sz w:val="20"/>
          <w:szCs w:val="20"/>
        </w:rPr>
        <w:t xml:space="preserve">voor vennootschapsorganen </w:t>
      </w:r>
      <w:r w:rsidR="001A3918">
        <w:rPr>
          <w:rFonts w:ascii="Arial" w:hAnsi="Arial" w:cs="Arial"/>
          <w:sz w:val="20"/>
          <w:szCs w:val="20"/>
        </w:rPr>
        <w:t>te introduceren.</w:t>
      </w:r>
    </w:p>
    <w:p w:rsidR="00E65822" w:rsidRDefault="00E65822" w:rsidP="001F140C">
      <w:pPr>
        <w:pStyle w:val="Lijstalinea"/>
        <w:numPr>
          <w:ilvl w:val="0"/>
          <w:numId w:val="2"/>
        </w:numPr>
        <w:rPr>
          <w:rFonts w:ascii="Arial" w:hAnsi="Arial" w:cs="Arial"/>
          <w:sz w:val="20"/>
          <w:szCs w:val="20"/>
        </w:rPr>
      </w:pPr>
      <w:r w:rsidRPr="00E65822">
        <w:rPr>
          <w:rFonts w:ascii="Arial" w:hAnsi="Arial" w:cs="Arial"/>
          <w:sz w:val="20"/>
          <w:szCs w:val="20"/>
        </w:rPr>
        <w:t xml:space="preserve">Pagina 14 &amp; 15, onafhankelijk intern toezicht: Wij verwijzen graag naar het artikel </w:t>
      </w:r>
      <w:r>
        <w:rPr>
          <w:rFonts w:ascii="Arial" w:hAnsi="Arial" w:cs="Arial"/>
          <w:sz w:val="20"/>
          <w:szCs w:val="20"/>
        </w:rPr>
        <w:t>“</w:t>
      </w:r>
      <w:hyperlink r:id="rId7" w:history="1">
        <w:r w:rsidRPr="00E65822">
          <w:rPr>
            <w:rStyle w:val="Hyperlink"/>
            <w:rFonts w:ascii="Arial" w:hAnsi="Arial" w:cs="Arial"/>
            <w:color w:val="auto"/>
            <w:sz w:val="20"/>
            <w:szCs w:val="20"/>
            <w:u w:val="none"/>
          </w:rPr>
          <w:t>Raden van Commissarissen bij vennootschappen van professionals: een categorie apart?</w:t>
        </w:r>
      </w:hyperlink>
      <w:r w:rsidRPr="00E65822">
        <w:rPr>
          <w:rFonts w:ascii="Arial" w:hAnsi="Arial" w:cs="Arial"/>
          <w:sz w:val="20"/>
          <w:szCs w:val="20"/>
        </w:rPr>
        <w:t xml:space="preserve">”, van prof. mr. C.A. </w:t>
      </w:r>
      <w:proofErr w:type="spellStart"/>
      <w:r w:rsidRPr="00E65822">
        <w:rPr>
          <w:rFonts w:ascii="Arial" w:hAnsi="Arial" w:cs="Arial"/>
          <w:sz w:val="20"/>
          <w:szCs w:val="20"/>
        </w:rPr>
        <w:t>Schwarz</w:t>
      </w:r>
      <w:proofErr w:type="spellEnd"/>
      <w:r w:rsidRPr="00E65822">
        <w:rPr>
          <w:rFonts w:ascii="Arial" w:hAnsi="Arial" w:cs="Arial"/>
          <w:sz w:val="20"/>
          <w:szCs w:val="20"/>
        </w:rPr>
        <w:t xml:space="preserve"> en prof. dr. mr. P.M. van der Zanden (Tijdschrift voor vennootschapsrecht, rechtspersonenrecht en ondernemingsbestuur</w:t>
      </w:r>
      <w:r>
        <w:rPr>
          <w:rFonts w:ascii="Arial" w:hAnsi="Arial" w:cs="Arial"/>
          <w:sz w:val="20"/>
          <w:szCs w:val="20"/>
        </w:rPr>
        <w:t>, juni 2017)</w:t>
      </w:r>
      <w:r w:rsidR="00672AAB">
        <w:rPr>
          <w:rFonts w:ascii="Arial" w:hAnsi="Arial" w:cs="Arial"/>
          <w:sz w:val="20"/>
          <w:szCs w:val="20"/>
        </w:rPr>
        <w:t xml:space="preserve"> Wij verwijzen in het bijgevoegde pdf van het artikel met name </w:t>
      </w:r>
      <w:r w:rsidR="00824A8D">
        <w:rPr>
          <w:rFonts w:ascii="Arial" w:hAnsi="Arial" w:cs="Arial"/>
          <w:sz w:val="20"/>
          <w:szCs w:val="20"/>
        </w:rPr>
        <w:t>naar pagina’s 3 en 4, waar de auteurs inzoomen op het Wetsvoorstel aanvullende maatregelen accountantsorganisaties.</w:t>
      </w:r>
    </w:p>
    <w:p w:rsidR="00E1135C" w:rsidRDefault="00E65822" w:rsidP="001F140C">
      <w:pPr>
        <w:pStyle w:val="Lijstalinea"/>
        <w:numPr>
          <w:ilvl w:val="0"/>
          <w:numId w:val="2"/>
        </w:numPr>
        <w:rPr>
          <w:rFonts w:ascii="Arial" w:hAnsi="Arial" w:cs="Arial"/>
          <w:sz w:val="20"/>
          <w:szCs w:val="20"/>
        </w:rPr>
      </w:pPr>
      <w:r>
        <w:rPr>
          <w:rFonts w:ascii="Arial" w:hAnsi="Arial" w:cs="Arial"/>
          <w:sz w:val="20"/>
          <w:szCs w:val="20"/>
        </w:rPr>
        <w:t xml:space="preserve">Pagina 18, </w:t>
      </w:r>
      <w:r w:rsidR="00E1135C">
        <w:rPr>
          <w:rFonts w:ascii="Arial" w:hAnsi="Arial" w:cs="Arial"/>
          <w:sz w:val="20"/>
          <w:szCs w:val="20"/>
        </w:rPr>
        <w:t xml:space="preserve">op wie rust verplichting herstelmaatregelen?: De </w:t>
      </w:r>
      <w:proofErr w:type="spellStart"/>
      <w:r w:rsidR="00E1135C">
        <w:rPr>
          <w:rFonts w:ascii="Arial" w:hAnsi="Arial" w:cs="Arial"/>
          <w:sz w:val="20"/>
          <w:szCs w:val="20"/>
        </w:rPr>
        <w:t>Wta</w:t>
      </w:r>
      <w:proofErr w:type="spellEnd"/>
      <w:r w:rsidR="00E1135C">
        <w:rPr>
          <w:rFonts w:ascii="Arial" w:hAnsi="Arial" w:cs="Arial"/>
          <w:sz w:val="20"/>
          <w:szCs w:val="20"/>
        </w:rPr>
        <w:t xml:space="preserve"> beschrijft heel helder en duidelijk de verschillende verplichtingen, verantwoordelijkheden en zorgplicht die gelden voor individuele beroepsoefenaars en voor de accountantsorganisaties. Waar die beginnen en waar die eindigen. Daarvoor is bij het opstellen van de wet nadrukkelijk zo gekozen. De wijze waarop de verantwoordelijkheden van de individuele accountant en de accountantsorganisatie in de beantwoording worden benoemd, gaat hieraan volstrekt voorbij. </w:t>
      </w:r>
    </w:p>
    <w:p w:rsidR="00E65822" w:rsidRPr="00E65822" w:rsidRDefault="00E1135C" w:rsidP="001F140C">
      <w:pPr>
        <w:pStyle w:val="Lijstalinea"/>
        <w:numPr>
          <w:ilvl w:val="0"/>
          <w:numId w:val="2"/>
        </w:numPr>
        <w:rPr>
          <w:rFonts w:ascii="Arial" w:hAnsi="Arial" w:cs="Arial"/>
          <w:sz w:val="20"/>
          <w:szCs w:val="20"/>
        </w:rPr>
      </w:pPr>
      <w:r>
        <w:rPr>
          <w:rFonts w:ascii="Arial" w:hAnsi="Arial" w:cs="Arial"/>
          <w:sz w:val="20"/>
          <w:szCs w:val="20"/>
        </w:rPr>
        <w:t xml:space="preserve">Pagina 20 &amp; 21, uitbreiding uitwisseling van informatie: Het delen van onderzoekinformatie tussen allerlei toezichthouders en opsporingsdiensten </w:t>
      </w:r>
      <w:r w:rsidR="00940299">
        <w:rPr>
          <w:rFonts w:ascii="Arial" w:hAnsi="Arial" w:cs="Arial"/>
          <w:sz w:val="20"/>
          <w:szCs w:val="20"/>
        </w:rPr>
        <w:t>heeft in het verleden reeds rechtstatelijke vragen opgeroepen; we noemen het conflict tussen het moeten beantwoorden van vragen van de toezichthouder en het zwijgrecht van de verdachte of het spanningsveld tussen de geheimhoudingsplicht/spreekplicht van de professional tegenover het zwijgrecht van zijn cliënt. In hoeverre wordt hier recht gedaan een de Trias Politica</w:t>
      </w:r>
      <w:r w:rsidR="00824A8D">
        <w:rPr>
          <w:rFonts w:ascii="Arial" w:hAnsi="Arial" w:cs="Arial"/>
          <w:sz w:val="20"/>
          <w:szCs w:val="20"/>
        </w:rPr>
        <w:t>, verankerd</w:t>
      </w:r>
      <w:r w:rsidR="00940299">
        <w:rPr>
          <w:rFonts w:ascii="Arial" w:hAnsi="Arial" w:cs="Arial"/>
          <w:sz w:val="20"/>
          <w:szCs w:val="20"/>
        </w:rPr>
        <w:t xml:space="preserve"> in de Nederlandse grondwet?</w:t>
      </w:r>
      <w:r>
        <w:rPr>
          <w:rFonts w:ascii="Arial" w:hAnsi="Arial" w:cs="Arial"/>
          <w:sz w:val="20"/>
          <w:szCs w:val="20"/>
        </w:rPr>
        <w:t xml:space="preserve">   </w:t>
      </w:r>
      <w:r w:rsidR="00E65822">
        <w:rPr>
          <w:rFonts w:ascii="Arial" w:hAnsi="Arial" w:cs="Arial"/>
          <w:sz w:val="20"/>
          <w:szCs w:val="20"/>
        </w:rPr>
        <w:t xml:space="preserve"> </w:t>
      </w:r>
    </w:p>
    <w:sectPr w:rsidR="00E65822" w:rsidRPr="00E65822" w:rsidSect="00824A8D">
      <w:head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F5" w:rsidRDefault="003663F5" w:rsidP="00293D9C">
      <w:pPr>
        <w:spacing w:after="0" w:line="240" w:lineRule="auto"/>
      </w:pPr>
      <w:r>
        <w:separator/>
      </w:r>
    </w:p>
  </w:endnote>
  <w:endnote w:type="continuationSeparator" w:id="0">
    <w:p w:rsidR="003663F5" w:rsidRDefault="003663F5" w:rsidP="0029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F5" w:rsidRDefault="003663F5" w:rsidP="00293D9C">
      <w:pPr>
        <w:spacing w:after="0" w:line="240" w:lineRule="auto"/>
      </w:pPr>
      <w:r>
        <w:separator/>
      </w:r>
    </w:p>
  </w:footnote>
  <w:footnote w:type="continuationSeparator" w:id="0">
    <w:p w:rsidR="003663F5" w:rsidRDefault="003663F5" w:rsidP="00293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9C" w:rsidRDefault="00293D9C" w:rsidP="00E46A6A">
    <w:pPr>
      <w:pStyle w:val="Koptekst"/>
      <w:tabs>
        <w:tab w:val="clear" w:pos="4536"/>
        <w:tab w:val="clear" w:pos="9072"/>
      </w:tabs>
      <w:jc w:val="right"/>
      <w:rPr>
        <w:rFonts w:cs="Arial"/>
        <w:sz w:val="16"/>
        <w:szCs w:val="16"/>
      </w:rPr>
    </w:pPr>
    <w:r>
      <w:rPr>
        <w:noProof/>
        <w:lang w:eastAsia="nl-NL"/>
      </w:rPr>
      <w:drawing>
        <wp:anchor distT="0" distB="0" distL="114300" distR="114300" simplePos="0" relativeHeight="251659264" behindDoc="1" locked="0" layoutInCell="1" allowOverlap="1">
          <wp:simplePos x="0" y="0"/>
          <wp:positionH relativeFrom="page">
            <wp:posOffset>900430</wp:posOffset>
          </wp:positionH>
          <wp:positionV relativeFrom="page">
            <wp:posOffset>485775</wp:posOffset>
          </wp:positionV>
          <wp:extent cx="723900" cy="600075"/>
          <wp:effectExtent l="0" t="0" r="0" b="9525"/>
          <wp:wrapTopAndBottom/>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D9C" w:rsidRPr="00293D9C" w:rsidRDefault="00293D9C" w:rsidP="00293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5D80"/>
    <w:multiLevelType w:val="multilevel"/>
    <w:tmpl w:val="95A2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67B28"/>
    <w:multiLevelType w:val="hybridMultilevel"/>
    <w:tmpl w:val="812E6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F10BD5"/>
    <w:multiLevelType w:val="hybridMultilevel"/>
    <w:tmpl w:val="272AB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9C"/>
    <w:rsid w:val="0001553F"/>
    <w:rsid w:val="000204AF"/>
    <w:rsid w:val="00045283"/>
    <w:rsid w:val="001A3918"/>
    <w:rsid w:val="001C4237"/>
    <w:rsid w:val="00293D9C"/>
    <w:rsid w:val="00345960"/>
    <w:rsid w:val="003663F5"/>
    <w:rsid w:val="003E0F6D"/>
    <w:rsid w:val="003F6A0A"/>
    <w:rsid w:val="00486271"/>
    <w:rsid w:val="005177AD"/>
    <w:rsid w:val="005C6D7B"/>
    <w:rsid w:val="00623295"/>
    <w:rsid w:val="00666569"/>
    <w:rsid w:val="00672AAB"/>
    <w:rsid w:val="00685228"/>
    <w:rsid w:val="006E5186"/>
    <w:rsid w:val="007B0D7A"/>
    <w:rsid w:val="007B606A"/>
    <w:rsid w:val="00824A8D"/>
    <w:rsid w:val="008A56FB"/>
    <w:rsid w:val="00940299"/>
    <w:rsid w:val="009466BA"/>
    <w:rsid w:val="00A1207D"/>
    <w:rsid w:val="00B14897"/>
    <w:rsid w:val="00B4096D"/>
    <w:rsid w:val="00B91C37"/>
    <w:rsid w:val="00BA2DE5"/>
    <w:rsid w:val="00BA7AD6"/>
    <w:rsid w:val="00C27972"/>
    <w:rsid w:val="00D01D1B"/>
    <w:rsid w:val="00D107F0"/>
    <w:rsid w:val="00D14C24"/>
    <w:rsid w:val="00D76B4D"/>
    <w:rsid w:val="00D77648"/>
    <w:rsid w:val="00DF75AA"/>
    <w:rsid w:val="00E1135C"/>
    <w:rsid w:val="00E51293"/>
    <w:rsid w:val="00E65822"/>
    <w:rsid w:val="00FB3418"/>
    <w:rsid w:val="00FD25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CE8CD3-0404-498A-B6C5-02412717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F75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F7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3D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D9C"/>
  </w:style>
  <w:style w:type="paragraph" w:styleId="Voettekst">
    <w:name w:val="footer"/>
    <w:basedOn w:val="Standaard"/>
    <w:link w:val="VoettekstChar"/>
    <w:uiPriority w:val="99"/>
    <w:unhideWhenUsed/>
    <w:rsid w:val="00293D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D9C"/>
  </w:style>
  <w:style w:type="paragraph" w:customStyle="1" w:styleId="default">
    <w:name w:val="default"/>
    <w:basedOn w:val="Standaard"/>
    <w:rsid w:val="00293D9C"/>
    <w:pPr>
      <w:spacing w:after="0" w:line="240" w:lineRule="auto"/>
    </w:pPr>
    <w:rPr>
      <w:rFonts w:ascii="Arial" w:eastAsia="Times New Roman" w:hAnsi="Arial" w:cs="Arial"/>
      <w:color w:val="000000"/>
      <w:sz w:val="24"/>
      <w:szCs w:val="24"/>
      <w:lang w:eastAsia="nl-NL"/>
    </w:rPr>
  </w:style>
  <w:style w:type="paragraph" w:customStyle="1" w:styleId="Default0">
    <w:name w:val="Default"/>
    <w:rsid w:val="00293D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293D9C"/>
    <w:rPr>
      <w:color w:val="0563C1" w:themeColor="hyperlink"/>
      <w:u w:val="single"/>
    </w:rPr>
  </w:style>
  <w:style w:type="paragraph" w:styleId="Geenafstand">
    <w:name w:val="No Spacing"/>
    <w:uiPriority w:val="1"/>
    <w:qFormat/>
    <w:rsid w:val="00A1207D"/>
    <w:pPr>
      <w:spacing w:after="0" w:line="240" w:lineRule="auto"/>
    </w:pPr>
  </w:style>
  <w:style w:type="paragraph" w:styleId="Ballontekst">
    <w:name w:val="Balloon Text"/>
    <w:basedOn w:val="Standaard"/>
    <w:link w:val="BallontekstChar"/>
    <w:uiPriority w:val="99"/>
    <w:semiHidden/>
    <w:unhideWhenUsed/>
    <w:rsid w:val="00B409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096D"/>
    <w:rPr>
      <w:rFonts w:ascii="Segoe UI" w:hAnsi="Segoe UI" w:cs="Segoe UI"/>
      <w:sz w:val="18"/>
      <w:szCs w:val="18"/>
    </w:rPr>
  </w:style>
  <w:style w:type="character" w:customStyle="1" w:styleId="Kop1Char">
    <w:name w:val="Kop 1 Char"/>
    <w:basedOn w:val="Standaardalinea-lettertype"/>
    <w:link w:val="Kop1"/>
    <w:uiPriority w:val="9"/>
    <w:rsid w:val="00DF75A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F75AA"/>
    <w:rPr>
      <w:rFonts w:asciiTheme="majorHAnsi" w:eastAsiaTheme="majorEastAsia" w:hAnsiTheme="majorHAnsi" w:cstheme="majorBidi"/>
      <w:color w:val="2E74B5" w:themeColor="accent1" w:themeShade="BF"/>
      <w:sz w:val="26"/>
      <w:szCs w:val="26"/>
    </w:rPr>
  </w:style>
  <w:style w:type="character" w:customStyle="1" w:styleId="st1">
    <w:name w:val="st1"/>
    <w:basedOn w:val="Standaardalinea-lettertype"/>
    <w:rsid w:val="00DF75AA"/>
  </w:style>
  <w:style w:type="paragraph" w:styleId="Normaalweb">
    <w:name w:val="Normal (Web)"/>
    <w:basedOn w:val="Standaard"/>
    <w:uiPriority w:val="99"/>
    <w:semiHidden/>
    <w:unhideWhenUsed/>
    <w:rsid w:val="001C4237"/>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C27972"/>
    <w:pPr>
      <w:ind w:left="720"/>
      <w:contextualSpacing/>
    </w:pPr>
  </w:style>
  <w:style w:type="paragraph" w:customStyle="1" w:styleId="author">
    <w:name w:val="author"/>
    <w:basedOn w:val="Standaard"/>
    <w:rsid w:val="00E6582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04686">
      <w:bodyDiv w:val="1"/>
      <w:marLeft w:val="0"/>
      <w:marRight w:val="0"/>
      <w:marTop w:val="0"/>
      <w:marBottom w:val="0"/>
      <w:divBdr>
        <w:top w:val="none" w:sz="0" w:space="0" w:color="auto"/>
        <w:left w:val="none" w:sz="0" w:space="0" w:color="auto"/>
        <w:bottom w:val="none" w:sz="0" w:space="0" w:color="auto"/>
        <w:right w:val="none" w:sz="0" w:space="0" w:color="auto"/>
      </w:divBdr>
      <w:divsChild>
        <w:div w:id="767849739">
          <w:marLeft w:val="0"/>
          <w:marRight w:val="0"/>
          <w:marTop w:val="0"/>
          <w:marBottom w:val="0"/>
          <w:divBdr>
            <w:top w:val="none" w:sz="0" w:space="0" w:color="auto"/>
            <w:left w:val="none" w:sz="0" w:space="0" w:color="auto"/>
            <w:bottom w:val="none" w:sz="0" w:space="0" w:color="auto"/>
            <w:right w:val="none" w:sz="0" w:space="0" w:color="auto"/>
          </w:divBdr>
          <w:divsChild>
            <w:div w:id="863976643">
              <w:marLeft w:val="0"/>
              <w:marRight w:val="0"/>
              <w:marTop w:val="0"/>
              <w:marBottom w:val="0"/>
              <w:divBdr>
                <w:top w:val="none" w:sz="0" w:space="0" w:color="auto"/>
                <w:left w:val="none" w:sz="0" w:space="0" w:color="auto"/>
                <w:bottom w:val="none" w:sz="0" w:space="0" w:color="auto"/>
                <w:right w:val="none" w:sz="0" w:space="0" w:color="auto"/>
              </w:divBdr>
              <w:divsChild>
                <w:div w:id="1324239308">
                  <w:marLeft w:val="0"/>
                  <w:marRight w:val="0"/>
                  <w:marTop w:val="0"/>
                  <w:marBottom w:val="0"/>
                  <w:divBdr>
                    <w:top w:val="none" w:sz="0" w:space="0" w:color="auto"/>
                    <w:left w:val="none" w:sz="0" w:space="0" w:color="auto"/>
                    <w:bottom w:val="none" w:sz="0" w:space="0" w:color="auto"/>
                    <w:right w:val="none" w:sz="0" w:space="0" w:color="auto"/>
                  </w:divBdr>
                  <w:divsChild>
                    <w:div w:id="798456869">
                      <w:marLeft w:val="0"/>
                      <w:marRight w:val="0"/>
                      <w:marTop w:val="0"/>
                      <w:marBottom w:val="0"/>
                      <w:divBdr>
                        <w:top w:val="none" w:sz="0" w:space="0" w:color="auto"/>
                        <w:left w:val="none" w:sz="0" w:space="0" w:color="auto"/>
                        <w:bottom w:val="none" w:sz="0" w:space="0" w:color="auto"/>
                        <w:right w:val="none" w:sz="0" w:space="0" w:color="auto"/>
                      </w:divBdr>
                      <w:divsChild>
                        <w:div w:id="1965964130">
                          <w:marLeft w:val="0"/>
                          <w:marRight w:val="0"/>
                          <w:marTop w:val="0"/>
                          <w:marBottom w:val="0"/>
                          <w:divBdr>
                            <w:top w:val="none" w:sz="0" w:space="0" w:color="auto"/>
                            <w:left w:val="none" w:sz="0" w:space="0" w:color="auto"/>
                            <w:bottom w:val="none" w:sz="0" w:space="0" w:color="auto"/>
                            <w:right w:val="none" w:sz="0" w:space="0" w:color="auto"/>
                          </w:divBdr>
                          <w:divsChild>
                            <w:div w:id="1765344119">
                              <w:marLeft w:val="0"/>
                              <w:marRight w:val="0"/>
                              <w:marTop w:val="0"/>
                              <w:marBottom w:val="0"/>
                              <w:divBdr>
                                <w:top w:val="none" w:sz="0" w:space="0" w:color="auto"/>
                                <w:left w:val="none" w:sz="0" w:space="0" w:color="auto"/>
                                <w:bottom w:val="none" w:sz="0" w:space="0" w:color="auto"/>
                                <w:right w:val="none" w:sz="0" w:space="0" w:color="auto"/>
                              </w:divBdr>
                              <w:divsChild>
                                <w:div w:id="122507252">
                                  <w:marLeft w:val="0"/>
                                  <w:marRight w:val="0"/>
                                  <w:marTop w:val="0"/>
                                  <w:marBottom w:val="0"/>
                                  <w:divBdr>
                                    <w:top w:val="none" w:sz="0" w:space="0" w:color="auto"/>
                                    <w:left w:val="none" w:sz="0" w:space="0" w:color="auto"/>
                                    <w:bottom w:val="none" w:sz="0" w:space="0" w:color="auto"/>
                                    <w:right w:val="none" w:sz="0" w:space="0" w:color="auto"/>
                                  </w:divBdr>
                                  <w:divsChild>
                                    <w:div w:id="1037313857">
                                      <w:marLeft w:val="0"/>
                                      <w:marRight w:val="0"/>
                                      <w:marTop w:val="0"/>
                                      <w:marBottom w:val="0"/>
                                      <w:divBdr>
                                        <w:top w:val="none" w:sz="0" w:space="0" w:color="auto"/>
                                        <w:left w:val="none" w:sz="0" w:space="0" w:color="auto"/>
                                        <w:bottom w:val="none" w:sz="0" w:space="0" w:color="auto"/>
                                        <w:right w:val="none" w:sz="0" w:space="0" w:color="auto"/>
                                      </w:divBdr>
                                      <w:divsChild>
                                        <w:div w:id="471483925">
                                          <w:marLeft w:val="0"/>
                                          <w:marRight w:val="0"/>
                                          <w:marTop w:val="0"/>
                                          <w:marBottom w:val="0"/>
                                          <w:divBdr>
                                            <w:top w:val="none" w:sz="0" w:space="0" w:color="auto"/>
                                            <w:left w:val="none" w:sz="0" w:space="0" w:color="auto"/>
                                            <w:bottom w:val="none" w:sz="0" w:space="0" w:color="auto"/>
                                            <w:right w:val="none" w:sz="0" w:space="0" w:color="auto"/>
                                          </w:divBdr>
                                          <w:divsChild>
                                            <w:div w:id="43604382">
                                              <w:marLeft w:val="0"/>
                                              <w:marRight w:val="0"/>
                                              <w:marTop w:val="0"/>
                                              <w:marBottom w:val="0"/>
                                              <w:divBdr>
                                                <w:top w:val="none" w:sz="0" w:space="0" w:color="auto"/>
                                                <w:left w:val="none" w:sz="0" w:space="0" w:color="auto"/>
                                                <w:bottom w:val="none" w:sz="0" w:space="0" w:color="auto"/>
                                                <w:right w:val="none" w:sz="0" w:space="0" w:color="auto"/>
                                              </w:divBdr>
                                              <w:divsChild>
                                                <w:div w:id="1268268520">
                                                  <w:marLeft w:val="0"/>
                                                  <w:marRight w:val="0"/>
                                                  <w:marTop w:val="0"/>
                                                  <w:marBottom w:val="0"/>
                                                  <w:divBdr>
                                                    <w:top w:val="none" w:sz="0" w:space="0" w:color="auto"/>
                                                    <w:left w:val="none" w:sz="0" w:space="0" w:color="auto"/>
                                                    <w:bottom w:val="none" w:sz="0" w:space="0" w:color="auto"/>
                                                    <w:right w:val="none" w:sz="0" w:space="0" w:color="auto"/>
                                                  </w:divBdr>
                                                  <w:divsChild>
                                                    <w:div w:id="11369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005524">
      <w:bodyDiv w:val="1"/>
      <w:marLeft w:val="0"/>
      <w:marRight w:val="0"/>
      <w:marTop w:val="0"/>
      <w:marBottom w:val="0"/>
      <w:divBdr>
        <w:top w:val="none" w:sz="0" w:space="0" w:color="auto"/>
        <w:left w:val="none" w:sz="0" w:space="0" w:color="auto"/>
        <w:bottom w:val="none" w:sz="0" w:space="0" w:color="auto"/>
        <w:right w:val="none" w:sz="0" w:space="0" w:color="auto"/>
      </w:divBdr>
      <w:divsChild>
        <w:div w:id="524246772">
          <w:marLeft w:val="0"/>
          <w:marRight w:val="0"/>
          <w:marTop w:val="0"/>
          <w:marBottom w:val="0"/>
          <w:divBdr>
            <w:top w:val="none" w:sz="0" w:space="0" w:color="auto"/>
            <w:left w:val="none" w:sz="0" w:space="0" w:color="auto"/>
            <w:bottom w:val="none" w:sz="0" w:space="0" w:color="auto"/>
            <w:right w:val="none" w:sz="0" w:space="0" w:color="auto"/>
          </w:divBdr>
          <w:divsChild>
            <w:div w:id="599990051">
              <w:marLeft w:val="0"/>
              <w:marRight w:val="0"/>
              <w:marTop w:val="0"/>
              <w:marBottom w:val="0"/>
              <w:divBdr>
                <w:top w:val="none" w:sz="0" w:space="0" w:color="auto"/>
                <w:left w:val="none" w:sz="0" w:space="0" w:color="auto"/>
                <w:bottom w:val="none" w:sz="0" w:space="0" w:color="auto"/>
                <w:right w:val="none" w:sz="0" w:space="0" w:color="auto"/>
              </w:divBdr>
              <w:divsChild>
                <w:div w:id="1167088594">
                  <w:marLeft w:val="0"/>
                  <w:marRight w:val="0"/>
                  <w:marTop w:val="0"/>
                  <w:marBottom w:val="0"/>
                  <w:divBdr>
                    <w:top w:val="none" w:sz="0" w:space="0" w:color="auto"/>
                    <w:left w:val="none" w:sz="0" w:space="0" w:color="auto"/>
                    <w:bottom w:val="none" w:sz="0" w:space="0" w:color="auto"/>
                    <w:right w:val="none" w:sz="0" w:space="0" w:color="auto"/>
                  </w:divBdr>
                  <w:divsChild>
                    <w:div w:id="810057145">
                      <w:marLeft w:val="0"/>
                      <w:marRight w:val="0"/>
                      <w:marTop w:val="0"/>
                      <w:marBottom w:val="0"/>
                      <w:divBdr>
                        <w:top w:val="none" w:sz="0" w:space="0" w:color="auto"/>
                        <w:left w:val="none" w:sz="0" w:space="0" w:color="auto"/>
                        <w:bottom w:val="none" w:sz="0" w:space="0" w:color="auto"/>
                        <w:right w:val="none" w:sz="0" w:space="0" w:color="auto"/>
                      </w:divBdr>
                      <w:divsChild>
                        <w:div w:id="17141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itgeverijparis.nl/reader/199886/1001320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6813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Danse | SRA</dc:creator>
  <cp:keywords/>
  <dc:description/>
  <cp:lastModifiedBy>Roy Verheul | SRA</cp:lastModifiedBy>
  <cp:revision>2</cp:revision>
  <cp:lastPrinted>2017-06-23T08:36:00Z</cp:lastPrinted>
  <dcterms:created xsi:type="dcterms:W3CDTF">2017-06-26T06:34:00Z</dcterms:created>
  <dcterms:modified xsi:type="dcterms:W3CDTF">2017-06-26T06:34:00Z</dcterms:modified>
</cp:coreProperties>
</file>